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695F" w:rsidRDefault="00C96DC7">
      <w:pPr>
        <w:spacing w:line="240" w:lineRule="auto"/>
        <w:ind w:left="6237" w:right="-2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СОГЛАСОВАНО </w:t>
      </w:r>
    </w:p>
    <w:p w:rsidR="00CF695F" w:rsidRDefault="00C96DC7">
      <w:pPr>
        <w:spacing w:line="240" w:lineRule="auto"/>
        <w:ind w:left="6237" w:right="-2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Руководителя </w:t>
      </w:r>
    </w:p>
    <w:p w:rsidR="00CF695F" w:rsidRDefault="00C96DC7">
      <w:pPr>
        <w:spacing w:line="240" w:lineRule="auto"/>
        <w:ind w:left="6237" w:right="-2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Россельхознадзора</w:t>
      </w:r>
    </w:p>
    <w:p w:rsidR="00CF695F" w:rsidRDefault="00C96DC7">
      <w:pPr>
        <w:spacing w:line="240" w:lineRule="auto"/>
        <w:ind w:left="6237" w:right="-2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</w:t>
      </w:r>
    </w:p>
    <w:p w:rsidR="00CF695F" w:rsidRDefault="00C96DC7">
      <w:pPr>
        <w:spacing w:line="240" w:lineRule="auto"/>
        <w:ind w:left="6237" w:right="-2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</w:t>
      </w:r>
    </w:p>
    <w:p w:rsidR="00CF695F" w:rsidRDefault="00CF695F">
      <w:pPr>
        <w:spacing w:line="240" w:lineRule="auto"/>
        <w:ind w:left="6237" w:right="-2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F695F" w:rsidRDefault="00C96DC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</w:t>
      </w:r>
    </w:p>
    <w:p w:rsidR="00CF695F" w:rsidRDefault="00C96DC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ветеринарному применению лекарственного препарата </w:t>
      </w:r>
      <w:r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>Конафлион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695F" w:rsidRDefault="00CF695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F695F" w:rsidRDefault="00C96D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(организация-</w:t>
      </w:r>
      <w:r>
        <w:rPr>
          <w:rStyle w:val="36pt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 xml:space="preserve">ООО «НИТА-ФАРМ», 410010, г. Саратов, </w:t>
      </w:r>
    </w:p>
    <w:p w:rsidR="00CF695F" w:rsidRDefault="00C96D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им. Осипова В.И., дом 1)</w:t>
      </w:r>
    </w:p>
    <w:p w:rsidR="00CF695F" w:rsidRDefault="00C96DC7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F695F" w:rsidRDefault="00C96DC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Номер регистрационного удостоверения: _______________                                                        </w:t>
      </w:r>
    </w:p>
    <w:p w:rsidR="00CF695F" w:rsidRDefault="00CF695F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F695F" w:rsidRPr="00F836E1" w:rsidRDefault="00C96DC7">
      <w:pPr>
        <w:spacing w:after="0"/>
        <w:ind w:firstLine="567"/>
        <w:jc w:val="center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I. </w:t>
      </w:r>
      <w:r w:rsidRPr="00F836E1">
        <w:rPr>
          <w:rFonts w:ascii="Times New Roman" w:eastAsia="TimesNewRoman" w:hAnsi="Times New Roman"/>
          <w:bCs/>
          <w:color w:val="000000"/>
          <w:sz w:val="28"/>
          <w:szCs w:val="28"/>
        </w:rPr>
        <w:t>Общие сведения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pacing w:val="-6"/>
          <w:sz w:val="28"/>
          <w:szCs w:val="28"/>
        </w:rPr>
        <w:t>1. Наименование лекарственного препарата для ветеринарного применения: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spacing w:val="-6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торговое </w:t>
      </w:r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 xml:space="preserve">наименование - </w:t>
      </w:r>
      <w:proofErr w:type="spellStart"/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>Конафлион</w:t>
      </w:r>
      <w:proofErr w:type="spellEnd"/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 xml:space="preserve"> (</w:t>
      </w:r>
      <w:proofErr w:type="spellStart"/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>Сonaflion</w:t>
      </w:r>
      <w:proofErr w:type="spellEnd"/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>);</w:t>
      </w:r>
    </w:p>
    <w:p w:rsidR="00CF695F" w:rsidRPr="00F836E1" w:rsidRDefault="00C96DC7">
      <w:pPr>
        <w:pStyle w:val="ConsPlusNormal"/>
        <w:widowControl/>
        <w:spacing w:line="276" w:lineRule="auto"/>
        <w:ind w:left="-567" w:firstLine="2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36E1">
        <w:rPr>
          <w:rFonts w:ascii="Times New Roman" w:eastAsia="TimesNewRoman" w:hAnsi="Times New Roman" w:cs="Times New Roman"/>
          <w:bCs/>
          <w:color w:val="000000"/>
          <w:sz w:val="28"/>
          <w:szCs w:val="28"/>
        </w:rPr>
        <w:t xml:space="preserve">  международное непатентованное наименование </w:t>
      </w:r>
      <w:r w:rsidR="0015713A" w:rsidRPr="00F836E1">
        <w:rPr>
          <w:rFonts w:ascii="Times New Roman" w:eastAsia="TimesNewRoman" w:hAnsi="Times New Roman" w:cs="Times New Roman"/>
          <w:bCs/>
          <w:color w:val="000000"/>
          <w:sz w:val="28"/>
          <w:szCs w:val="28"/>
        </w:rPr>
        <w:t xml:space="preserve">- </w:t>
      </w:r>
      <w:r w:rsidRPr="00F836E1">
        <w:rPr>
          <w:rFonts w:ascii="Times New Roman" w:eastAsia="TimesNewRoman" w:hAnsi="Times New Roman" w:cs="Times New Roman"/>
          <w:bCs/>
          <w:color w:val="000000"/>
          <w:sz w:val="28"/>
          <w:szCs w:val="28"/>
        </w:rPr>
        <w:t>фитоменадион</w:t>
      </w:r>
      <w:r w:rsidRPr="00F836E1">
        <w:rPr>
          <w:rFonts w:ascii="Times New Roman" w:hAnsi="Times New Roman" w:cs="Times New Roman"/>
          <w:sz w:val="28"/>
          <w:szCs w:val="28"/>
        </w:rPr>
        <w:t>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836E1">
        <w:rPr>
          <w:rFonts w:ascii="Times New Roman" w:hAnsi="Times New Roman"/>
          <w:sz w:val="28"/>
          <w:szCs w:val="28"/>
        </w:rPr>
        <w:t>2. Лекарственная форма: раствор для инъекций.</w:t>
      </w:r>
    </w:p>
    <w:p w:rsidR="00E357D7" w:rsidRPr="00F836E1" w:rsidRDefault="00E357D7">
      <w:pPr>
        <w:pStyle w:val="aff0"/>
        <w:tabs>
          <w:tab w:val="left" w:pos="0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836E1">
        <w:rPr>
          <w:rFonts w:ascii="Times New Roman" w:hAnsi="Times New Roman"/>
          <w:sz w:val="28"/>
          <w:szCs w:val="28"/>
        </w:rPr>
        <w:t>Конафлион в качестве действующего веществ</w:t>
      </w:r>
      <w:r w:rsidR="00C96DC7" w:rsidRPr="00F836E1">
        <w:rPr>
          <w:rFonts w:ascii="Times New Roman" w:hAnsi="Times New Roman"/>
          <w:sz w:val="28"/>
          <w:szCs w:val="28"/>
        </w:rPr>
        <w:t xml:space="preserve">а в 1 мл содержит фитоменадион </w:t>
      </w:r>
      <w:r w:rsidR="00497B9A" w:rsidRPr="00F836E1">
        <w:rPr>
          <w:rFonts w:ascii="Times New Roman" w:hAnsi="Times New Roman"/>
          <w:sz w:val="28"/>
          <w:szCs w:val="28"/>
        </w:rPr>
        <w:t xml:space="preserve">10 мг, а </w:t>
      </w:r>
      <w:r w:rsidR="00E828F3" w:rsidRPr="00F836E1">
        <w:rPr>
          <w:rFonts w:ascii="Times New Roman" w:hAnsi="Times New Roman"/>
          <w:sz w:val="28"/>
          <w:szCs w:val="28"/>
        </w:rPr>
        <w:t xml:space="preserve">также </w:t>
      </w:r>
      <w:r w:rsidRPr="00F836E1">
        <w:rPr>
          <w:rFonts w:ascii="Times New Roman" w:hAnsi="Times New Roman"/>
          <w:sz w:val="28"/>
          <w:szCs w:val="28"/>
        </w:rPr>
        <w:t>вспомогательные вещества:</w:t>
      </w:r>
      <w:r w:rsidR="00497B9A" w:rsidRPr="00F8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8F3" w:rsidRPr="00F836E1">
        <w:rPr>
          <w:rFonts w:ascii="Times New Roman" w:hAnsi="Times New Roman"/>
          <w:sz w:val="28"/>
          <w:szCs w:val="28"/>
        </w:rPr>
        <w:t>бензиловый</w:t>
      </w:r>
      <w:proofErr w:type="spellEnd"/>
      <w:r w:rsidR="00E828F3" w:rsidRPr="00F836E1">
        <w:rPr>
          <w:rFonts w:ascii="Times New Roman" w:hAnsi="Times New Roman"/>
          <w:sz w:val="28"/>
          <w:szCs w:val="28"/>
        </w:rPr>
        <w:t xml:space="preserve"> спирт, </w:t>
      </w:r>
      <w:proofErr w:type="spellStart"/>
      <w:r w:rsidR="00E828F3" w:rsidRPr="00F836E1">
        <w:rPr>
          <w:rFonts w:ascii="Times New Roman" w:hAnsi="Times New Roman"/>
          <w:sz w:val="28"/>
          <w:szCs w:val="28"/>
        </w:rPr>
        <w:t>бутилгидрокситолуол</w:t>
      </w:r>
      <w:proofErr w:type="spellEnd"/>
      <w:r w:rsidR="00E828F3" w:rsidRPr="00F836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28F3" w:rsidRPr="00F836E1">
        <w:rPr>
          <w:rFonts w:ascii="Times New Roman" w:hAnsi="Times New Roman"/>
          <w:sz w:val="28"/>
          <w:szCs w:val="28"/>
        </w:rPr>
        <w:t>макроголглицерол</w:t>
      </w:r>
      <w:proofErr w:type="spellEnd"/>
      <w:r w:rsidR="00E828F3" w:rsidRPr="00F8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8F3" w:rsidRPr="00F836E1">
        <w:rPr>
          <w:rFonts w:ascii="Times New Roman" w:hAnsi="Times New Roman"/>
          <w:sz w:val="28"/>
          <w:szCs w:val="28"/>
        </w:rPr>
        <w:t>гидрокс</w:t>
      </w:r>
      <w:r w:rsidR="00497B9A" w:rsidRPr="00F836E1">
        <w:rPr>
          <w:rFonts w:ascii="Times New Roman" w:hAnsi="Times New Roman"/>
          <w:sz w:val="28"/>
          <w:szCs w:val="28"/>
        </w:rPr>
        <w:t>истеарат</w:t>
      </w:r>
      <w:proofErr w:type="spellEnd"/>
      <w:r w:rsidR="00497B9A" w:rsidRPr="00F836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97B9A" w:rsidRPr="00F836E1">
        <w:rPr>
          <w:rFonts w:ascii="Times New Roman" w:hAnsi="Times New Roman"/>
          <w:sz w:val="28"/>
          <w:szCs w:val="28"/>
        </w:rPr>
        <w:t>гидрофосфат</w:t>
      </w:r>
      <w:proofErr w:type="spellEnd"/>
      <w:r w:rsidR="00497B9A" w:rsidRPr="00F836E1">
        <w:rPr>
          <w:rFonts w:ascii="Times New Roman" w:hAnsi="Times New Roman"/>
          <w:sz w:val="28"/>
          <w:szCs w:val="28"/>
        </w:rPr>
        <w:t xml:space="preserve"> калия, </w:t>
      </w:r>
      <w:proofErr w:type="spellStart"/>
      <w:r w:rsidR="00497B9A" w:rsidRPr="00F836E1">
        <w:rPr>
          <w:rFonts w:ascii="Times New Roman" w:hAnsi="Times New Roman"/>
          <w:sz w:val="28"/>
          <w:szCs w:val="28"/>
        </w:rPr>
        <w:t>дигидрофосфат</w:t>
      </w:r>
      <w:proofErr w:type="spellEnd"/>
      <w:r w:rsidR="00497B9A" w:rsidRPr="00F836E1">
        <w:rPr>
          <w:rFonts w:ascii="Times New Roman" w:hAnsi="Times New Roman"/>
          <w:sz w:val="28"/>
          <w:szCs w:val="28"/>
        </w:rPr>
        <w:t xml:space="preserve"> калия</w:t>
      </w:r>
      <w:r w:rsidR="00E828F3" w:rsidRPr="00F836E1">
        <w:rPr>
          <w:rFonts w:ascii="Times New Roman" w:hAnsi="Times New Roman"/>
          <w:sz w:val="28"/>
          <w:szCs w:val="28"/>
        </w:rPr>
        <w:t>, гликохолевую кислоту, пропиленгликоль и воду для инъекций.</w:t>
      </w:r>
    </w:p>
    <w:p w:rsidR="002966E4" w:rsidRPr="00F836E1" w:rsidRDefault="00C96DC7" w:rsidP="002966E4">
      <w:pPr>
        <w:pStyle w:val="aff0"/>
        <w:tabs>
          <w:tab w:val="left" w:pos="0"/>
        </w:tabs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sz w:val="28"/>
          <w:szCs w:val="28"/>
        </w:rPr>
        <w:t>3. По внешнему виду препарат представляет собой прозрачную жидкость</w:t>
      </w:r>
      <w:r w:rsidR="002966E4"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от </w:t>
      </w:r>
    </w:p>
    <w:p w:rsidR="00CF695F" w:rsidRPr="00F836E1" w:rsidRDefault="002966E4" w:rsidP="002966E4">
      <w:pPr>
        <w:pStyle w:val="aff0"/>
        <w:tabs>
          <w:tab w:val="left" w:pos="0"/>
        </w:tabs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>желтого до оранжевого цвета.</w:t>
      </w:r>
    </w:p>
    <w:p w:rsidR="00CF695F" w:rsidRPr="00F836E1" w:rsidRDefault="00C96DC7">
      <w:pPr>
        <w:pStyle w:val="aff0"/>
        <w:tabs>
          <w:tab w:val="left" w:pos="0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836E1">
        <w:rPr>
          <w:rFonts w:ascii="Times New Roman" w:hAnsi="Times New Roman"/>
          <w:sz w:val="28"/>
          <w:szCs w:val="28"/>
        </w:rPr>
        <w:t xml:space="preserve">Срок годности лекарственного препарата </w:t>
      </w:r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>Конафлион</w:t>
      </w:r>
      <w:r w:rsidRPr="00F836E1">
        <w:rPr>
          <w:rFonts w:ascii="Times New Roman" w:hAnsi="Times New Roman"/>
          <w:sz w:val="28"/>
          <w:szCs w:val="28"/>
        </w:rPr>
        <w:t xml:space="preserve"> при соблюдении условий хранения в закрытой упаковке производителя – 2 года со дня производства, после вскрытия первичной упаковки </w:t>
      </w:r>
      <w:r w:rsidRPr="00B76CF9">
        <w:rPr>
          <w:rFonts w:ascii="Times New Roman" w:hAnsi="Times New Roman"/>
          <w:sz w:val="28"/>
          <w:szCs w:val="28"/>
        </w:rPr>
        <w:t xml:space="preserve">– </w:t>
      </w:r>
      <w:r w:rsidR="00F836E1" w:rsidRPr="00B76CF9">
        <w:rPr>
          <w:rFonts w:ascii="Times New Roman" w:hAnsi="Times New Roman"/>
          <w:sz w:val="28"/>
          <w:szCs w:val="28"/>
        </w:rPr>
        <w:t xml:space="preserve">28 </w:t>
      </w:r>
      <w:r w:rsidRPr="00B76CF9">
        <w:rPr>
          <w:rFonts w:ascii="Times New Roman" w:hAnsi="Times New Roman"/>
          <w:sz w:val="28"/>
          <w:szCs w:val="28"/>
        </w:rPr>
        <w:t>суток</w:t>
      </w:r>
      <w:r w:rsidRPr="00F836E1">
        <w:rPr>
          <w:rFonts w:ascii="Times New Roman" w:hAnsi="Times New Roman"/>
          <w:sz w:val="28"/>
          <w:szCs w:val="28"/>
        </w:rPr>
        <w:t xml:space="preserve">. Запрещается применять </w:t>
      </w:r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>Конафлион</w:t>
      </w:r>
      <w:r w:rsidRPr="00F836E1">
        <w:rPr>
          <w:rFonts w:ascii="Times New Roman" w:hAnsi="Times New Roman"/>
          <w:sz w:val="28"/>
          <w:szCs w:val="28"/>
        </w:rPr>
        <w:t xml:space="preserve"> по истечении срока годности.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>Конафлион</w:t>
      </w:r>
      <w:r w:rsidRPr="00F836E1">
        <w:rPr>
          <w:rFonts w:ascii="Times New Roman" w:hAnsi="Times New Roman"/>
          <w:sz w:val="28"/>
          <w:szCs w:val="28"/>
        </w:rPr>
        <w:t xml:space="preserve"> в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>ыпускают расфасованным по 1, 2, 10, 20, 50, 100 мл в стеклянные флаконы, герметично укупоренные резиновыми пробками, укрепленными алюминиевыми колпачками с клипсами контроля первого вскрытия. Флаконы с препаратом объемом 1 мл по 10 шт. и объемом 2 мл по 5 шт. или 10 шт. упаковывают в картонные пачки.</w:t>
      </w:r>
      <w:r w:rsidR="00EC47BD"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Флакон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с препаратом объемом 10</w:t>
      </w:r>
      <w:r w:rsidR="00EC47BD"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мл упаковывают в индивидуальную пачку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из картона.</w:t>
      </w:r>
      <w:r w:rsidR="00EC47BD"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Флакон</w:t>
      </w:r>
      <w:r w:rsidR="00701111" w:rsidRPr="00F836E1">
        <w:rPr>
          <w:rFonts w:ascii="Times New Roman" w:hAnsi="Times New Roman"/>
          <w:bCs/>
          <w:color w:val="000000"/>
          <w:sz w:val="28"/>
          <w:szCs w:val="28"/>
        </w:rPr>
        <w:t>ы</w:t>
      </w:r>
      <w:r w:rsidR="00EC47BD"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с препаратом объемом 20, 50, 100 мл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C47BD" w:rsidRPr="00F836E1">
        <w:rPr>
          <w:rFonts w:ascii="Times New Roman" w:hAnsi="Times New Roman"/>
          <w:bCs/>
          <w:color w:val="000000"/>
          <w:sz w:val="28"/>
          <w:szCs w:val="28"/>
        </w:rPr>
        <w:t xml:space="preserve">допускается упаковывать в индивидуальные пачки из картона. 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>Каждую потребительскую упаковку снабжают инструкцией по применению препарата.</w:t>
      </w:r>
    </w:p>
    <w:p w:rsidR="00CF695F" w:rsidRPr="00F836E1" w:rsidRDefault="00C96DC7">
      <w:pPr>
        <w:pStyle w:val="aff0"/>
        <w:tabs>
          <w:tab w:val="left" w:pos="0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836E1">
        <w:rPr>
          <w:rFonts w:ascii="Times New Roman" w:hAnsi="Times New Roman"/>
          <w:sz w:val="28"/>
          <w:szCs w:val="28"/>
        </w:rPr>
        <w:lastRenderedPageBreak/>
        <w:t xml:space="preserve">5. Хранят препарат в закрытой упаковке производителя, в защищенном от прямых солнечных лучей месте, отдельно от продуктов питания и кормов, при температуре от 2 </w:t>
      </w:r>
      <w:proofErr w:type="spellStart"/>
      <w:r w:rsidRPr="00F836E1">
        <w:rPr>
          <w:rFonts w:ascii="Times New Roman" w:hAnsi="Times New Roman"/>
          <w:sz w:val="28"/>
          <w:szCs w:val="28"/>
          <w:vertAlign w:val="superscript"/>
        </w:rPr>
        <w:t>о</w:t>
      </w:r>
      <w:r w:rsidRPr="00F836E1">
        <w:rPr>
          <w:rFonts w:ascii="Times New Roman" w:hAnsi="Times New Roman"/>
          <w:sz w:val="28"/>
          <w:szCs w:val="28"/>
        </w:rPr>
        <w:t>С</w:t>
      </w:r>
      <w:proofErr w:type="spellEnd"/>
      <w:r w:rsidRPr="00F836E1">
        <w:rPr>
          <w:rFonts w:ascii="Times New Roman" w:hAnsi="Times New Roman"/>
          <w:sz w:val="28"/>
          <w:szCs w:val="28"/>
        </w:rPr>
        <w:t xml:space="preserve"> до 25 </w:t>
      </w:r>
      <w:proofErr w:type="spellStart"/>
      <w:r w:rsidRPr="00F836E1">
        <w:rPr>
          <w:rFonts w:ascii="Times New Roman" w:hAnsi="Times New Roman"/>
          <w:sz w:val="28"/>
          <w:szCs w:val="28"/>
          <w:vertAlign w:val="superscript"/>
        </w:rPr>
        <w:t>о</w:t>
      </w:r>
      <w:r w:rsidRPr="00F836E1">
        <w:rPr>
          <w:rFonts w:ascii="Times New Roman" w:hAnsi="Times New Roman"/>
          <w:sz w:val="28"/>
          <w:szCs w:val="28"/>
        </w:rPr>
        <w:t>С</w:t>
      </w:r>
      <w:proofErr w:type="spellEnd"/>
      <w:r w:rsidRPr="00F836E1">
        <w:rPr>
          <w:rFonts w:ascii="Times New Roman" w:hAnsi="Times New Roman"/>
          <w:sz w:val="28"/>
          <w:szCs w:val="28"/>
        </w:rPr>
        <w:t>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6.  </w:t>
      </w:r>
      <w:r w:rsidRPr="00F836E1">
        <w:rPr>
          <w:rFonts w:ascii="Times New Roman" w:hAnsi="Times New Roman"/>
          <w:sz w:val="28"/>
          <w:szCs w:val="28"/>
        </w:rPr>
        <w:t xml:space="preserve">Лекарственный препарат 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>следует хранить в недоступном для детей месте.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7. </w:t>
      </w:r>
      <w:r w:rsidRPr="00F836E1">
        <w:rPr>
          <w:rFonts w:ascii="Times New Roman" w:hAnsi="Times New Roman"/>
          <w:sz w:val="28"/>
          <w:szCs w:val="28"/>
        </w:rPr>
        <w:t>Неиспользованный лекарственный препарат утилизируют в соответствии с требованиями действующего законодательства.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836E1">
        <w:rPr>
          <w:rFonts w:ascii="Times New Roman" w:hAnsi="Times New Roman"/>
          <w:sz w:val="28"/>
          <w:szCs w:val="28"/>
        </w:rPr>
        <w:t>8. Лекарственный препарат отпускают без рецепта ветеринарного врача.</w:t>
      </w:r>
    </w:p>
    <w:p w:rsidR="00CF695F" w:rsidRPr="00F836E1" w:rsidRDefault="00CF695F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F695F" w:rsidRPr="00F836E1" w:rsidRDefault="00C96DC7">
      <w:pPr>
        <w:spacing w:after="0"/>
        <w:ind w:left="-567" w:firstLine="283"/>
        <w:jc w:val="center"/>
        <w:rPr>
          <w:rFonts w:ascii="Times New Roman" w:hAnsi="Times New Roman"/>
          <w:bCs/>
          <w:sz w:val="28"/>
          <w:szCs w:val="28"/>
        </w:rPr>
      </w:pPr>
      <w:r w:rsidRPr="00F836E1">
        <w:rPr>
          <w:rFonts w:ascii="Times New Roman" w:hAnsi="Times New Roman"/>
          <w:bCs/>
          <w:sz w:val="28"/>
          <w:szCs w:val="28"/>
        </w:rPr>
        <w:t>II. Фармакологические свойства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9. </w:t>
      </w:r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>Конафлион</w:t>
      </w:r>
      <w:r w:rsidRPr="00F836E1">
        <w:rPr>
          <w:rFonts w:ascii="Times New Roman" w:hAnsi="Times New Roman"/>
          <w:sz w:val="28"/>
          <w:szCs w:val="28"/>
        </w:rPr>
        <w:t xml:space="preserve"> относится к группе коагулянтов (в т.ч. факторов свертывания крови), </w:t>
      </w:r>
      <w:proofErr w:type="spellStart"/>
      <w:r w:rsidRPr="00F836E1">
        <w:rPr>
          <w:rFonts w:ascii="Times New Roman" w:hAnsi="Times New Roman"/>
          <w:sz w:val="28"/>
          <w:szCs w:val="28"/>
        </w:rPr>
        <w:t>гемостатиков</w:t>
      </w:r>
      <w:proofErr w:type="spellEnd"/>
      <w:r w:rsidRPr="00F836E1">
        <w:rPr>
          <w:rFonts w:ascii="Times New Roman" w:hAnsi="Times New Roman"/>
          <w:sz w:val="28"/>
          <w:szCs w:val="28"/>
        </w:rPr>
        <w:t>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>10.</w:t>
      </w:r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Действующее вещество лекарственного препарата – фитоменадион – является синтетическим аналогом витамина К1,</w:t>
      </w:r>
      <w:r w:rsidRPr="00F836E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ко-фактором синтеза протромбина и других факторов свертывания крови (VII, IX, X), а также протеинов-ингибиторов свертывания С и </w:t>
      </w:r>
      <w:r w:rsidRPr="00F836E1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</w:t>
      </w:r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печени, способствует нормализации процесса свертывания крови. 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В ходе биосинтеза этих белков витамин К1 обеспечивает </w:t>
      </w:r>
      <w:r w:rsidRPr="00F836E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γ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>-</w:t>
      </w:r>
      <w:proofErr w:type="spellStart"/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>карбоксилирование</w:t>
      </w:r>
      <w:proofErr w:type="spellEnd"/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остатков глутаминовой кислоты в полипептидных цепях. В результате образуются проферменты, способные активироваться в процессе свертывания крови.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крови протромбин (фактор II) в присутствии </w:t>
      </w:r>
      <w:proofErr w:type="spellStart"/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>тромбопластина</w:t>
      </w:r>
      <w:proofErr w:type="spellEnd"/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ионов кальция, при участии </w:t>
      </w:r>
      <w:proofErr w:type="spellStart"/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>проконвертина</w:t>
      </w:r>
      <w:proofErr w:type="spellEnd"/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(фактор VII), </w:t>
      </w:r>
      <w:r w:rsidRPr="009A2768">
        <w:rPr>
          <w:rFonts w:ascii="Times New Roman" w:hAnsi="Times New Roman"/>
          <w:bCs/>
          <w:color w:val="000000" w:themeColor="text1"/>
          <w:sz w:val="28"/>
          <w:szCs w:val="28"/>
        </w:rPr>
        <w:t>факторов IX (</w:t>
      </w:r>
      <w:r w:rsidR="00464EDE" w:rsidRPr="009A27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фактора </w:t>
      </w:r>
      <w:proofErr w:type="spellStart"/>
      <w:r w:rsidRPr="009A2768">
        <w:rPr>
          <w:rFonts w:ascii="Times New Roman" w:hAnsi="Times New Roman"/>
          <w:bCs/>
          <w:color w:val="000000" w:themeColor="text1"/>
          <w:sz w:val="28"/>
          <w:szCs w:val="28"/>
        </w:rPr>
        <w:t>Кристмас</w:t>
      </w:r>
      <w:r w:rsidR="00464EDE" w:rsidRPr="009A2768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proofErr w:type="spellEnd"/>
      <w:r w:rsidRPr="009A27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), X (фактора </w:t>
      </w:r>
      <w:r w:rsidR="00794154" w:rsidRPr="009A27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Стюарта – </w:t>
      </w:r>
      <w:proofErr w:type="spellStart"/>
      <w:r w:rsidR="00794154" w:rsidRPr="009A2768">
        <w:rPr>
          <w:rFonts w:ascii="Times New Roman" w:hAnsi="Times New Roman"/>
          <w:bCs/>
          <w:color w:val="000000" w:themeColor="text1"/>
          <w:sz w:val="28"/>
          <w:szCs w:val="28"/>
        </w:rPr>
        <w:t>Прауэра</w:t>
      </w:r>
      <w:proofErr w:type="spellEnd"/>
      <w:r w:rsidRPr="009A2768">
        <w:rPr>
          <w:rFonts w:ascii="Times New Roman" w:hAnsi="Times New Roman"/>
          <w:bCs/>
          <w:color w:val="000000" w:themeColor="text1"/>
          <w:sz w:val="28"/>
          <w:szCs w:val="28"/>
        </w:rPr>
        <w:t>) переходит в тромбин, под влиянием которого фибриноген превращается в фибрин, составляющий основу сгустка</w:t>
      </w:r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крови (тромба).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Влияет на структурные и функциональные свойства биологических мембран, участвует в регуляции синтеза фактора эластичности сосудов, в биосинтезе АТФ и </w:t>
      </w:r>
      <w:proofErr w:type="spellStart"/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>креатинфосфата</w:t>
      </w:r>
      <w:proofErr w:type="spellEnd"/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тканях, повышает активность некоторых ферментов (</w:t>
      </w:r>
      <w:proofErr w:type="spellStart"/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>креатинкиназы</w:t>
      </w:r>
      <w:proofErr w:type="spellEnd"/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энтерокиназы, амилазы, липазы, </w:t>
      </w:r>
      <w:proofErr w:type="spellStart"/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>аминотрансферазы</w:t>
      </w:r>
      <w:proofErr w:type="spellEnd"/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щелочной фосфатазы). </w:t>
      </w:r>
    </w:p>
    <w:p w:rsidR="00EB53DE" w:rsidRDefault="00C96DC7">
      <w:pPr>
        <w:spacing w:after="0"/>
        <w:ind w:left="-567" w:firstLine="283"/>
        <w:jc w:val="both"/>
        <w:rPr>
          <w:rFonts w:ascii="Arial" w:hAnsi="Arial" w:cs="Arial"/>
          <w:color w:val="2B2B2B"/>
          <w:sz w:val="26"/>
          <w:szCs w:val="26"/>
          <w:shd w:val="clear" w:color="auto" w:fill="FFFFFF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Витамин К1 </w:t>
      </w:r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>в высоких концентрациях накапливается в сердечной мышце, поджелудочной железе и печени. Начало эффекта при внутримышечном и подкожном введении наблюдается через 30 минут, при в/в введении терапевтический эффект наблюдается значительно быстрее.</w:t>
      </w:r>
      <w:r w:rsidRPr="00F836E1">
        <w:rPr>
          <w:rFonts w:ascii="Arial" w:hAnsi="Arial" w:cs="Arial"/>
          <w:color w:val="2B2B2B"/>
          <w:sz w:val="26"/>
          <w:szCs w:val="26"/>
          <w:shd w:val="clear" w:color="auto" w:fill="FFFFFF"/>
        </w:rPr>
        <w:t xml:space="preserve"> 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>Конафлион</w:t>
      </w:r>
      <w:r w:rsidRPr="00F836E1">
        <w:rPr>
          <w:rFonts w:ascii="Times New Roman" w:hAnsi="Times New Roman"/>
          <w:sz w:val="28"/>
          <w:szCs w:val="28"/>
        </w:rPr>
        <w:t xml:space="preserve"> п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о степени воздействия на организм относится к </w:t>
      </w:r>
      <w:r w:rsidR="00701111" w:rsidRPr="00F836E1">
        <w:rPr>
          <w:rFonts w:ascii="Times New Roman" w:hAnsi="Times New Roman"/>
          <w:bCs/>
          <w:color w:val="000000"/>
          <w:sz w:val="28"/>
          <w:szCs w:val="28"/>
        </w:rPr>
        <w:t xml:space="preserve">малоопасным 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>веществам (4 класс опасности по ГОСТ 12.1.007-76).</w:t>
      </w:r>
    </w:p>
    <w:p w:rsidR="009A03B6" w:rsidRPr="00F836E1" w:rsidRDefault="009A03B6">
      <w:pPr>
        <w:spacing w:after="0"/>
        <w:ind w:left="-567" w:firstLine="28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A03B6" w:rsidRPr="00F836E1" w:rsidRDefault="009A03B6">
      <w:pPr>
        <w:spacing w:after="0"/>
        <w:ind w:left="-567" w:firstLine="28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B53DE" w:rsidRDefault="00EB53DE">
      <w:pPr>
        <w:spacing w:after="0"/>
        <w:ind w:left="-567" w:firstLine="28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B53DE" w:rsidRDefault="00EB53DE">
      <w:pPr>
        <w:spacing w:after="0"/>
        <w:ind w:left="-567" w:firstLine="28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B53DE" w:rsidRDefault="00EB53DE">
      <w:pPr>
        <w:spacing w:after="0"/>
        <w:ind w:left="-567" w:firstLine="28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F695F" w:rsidRPr="00F836E1" w:rsidRDefault="00C96DC7">
      <w:pPr>
        <w:spacing w:after="0"/>
        <w:ind w:left="-567" w:firstLine="283"/>
        <w:jc w:val="center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lastRenderedPageBreak/>
        <w:t>III</w:t>
      </w:r>
      <w:r w:rsidRPr="00F836E1">
        <w:rPr>
          <w:rFonts w:ascii="Times New Roman" w:hAnsi="Times New Roman"/>
          <w:bCs/>
          <w:sz w:val="28"/>
          <w:szCs w:val="28"/>
        </w:rPr>
        <w:t xml:space="preserve">. </w:t>
      </w:r>
      <w:r w:rsidRPr="00F836E1">
        <w:rPr>
          <w:rFonts w:ascii="Times New Roman" w:eastAsia="TimesNewRoman" w:hAnsi="Times New Roman"/>
          <w:bCs/>
          <w:sz w:val="28"/>
          <w:szCs w:val="28"/>
        </w:rPr>
        <w:t>Порядок применения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11. Препарат </w:t>
      </w:r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>Конафлион</w:t>
      </w:r>
      <w:r w:rsidRPr="00F836E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применяют собакам и кошкам для профилактики и 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>лечения:</w:t>
      </w:r>
    </w:p>
    <w:p w:rsidR="00CF695F" w:rsidRPr="00F836E1" w:rsidRDefault="00C96DC7">
      <w:pPr>
        <w:spacing w:after="0"/>
        <w:ind w:left="-567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- кровотечений при травмах и хирургических вмешательствах, включая применение в качестве препарата для </w:t>
      </w:r>
      <w:proofErr w:type="spellStart"/>
      <w:r w:rsidRPr="00F836E1">
        <w:rPr>
          <w:rFonts w:ascii="Times New Roman" w:hAnsi="Times New Roman"/>
          <w:bCs/>
          <w:color w:val="000000"/>
          <w:sz w:val="28"/>
          <w:szCs w:val="28"/>
        </w:rPr>
        <w:t>премедикации</w:t>
      </w:r>
      <w:proofErr w:type="spellEnd"/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перед тяжелыми операциями и для пациентов с патологией системы гемостаза;</w:t>
      </w:r>
    </w:p>
    <w:p w:rsidR="00CF695F" w:rsidRDefault="009527E8" w:rsidP="009527E8">
      <w:pPr>
        <w:spacing w:after="0"/>
        <w:ind w:left="-567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C96DC7"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гиповитаминозе витамина К;</w:t>
      </w:r>
    </w:p>
    <w:p w:rsidR="00CF695F" w:rsidRPr="009A2768" w:rsidRDefault="009527E8" w:rsidP="00EE40BB">
      <w:pPr>
        <w:spacing w:after="0"/>
        <w:ind w:left="-567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9A2768">
        <w:rPr>
          <w:rFonts w:ascii="Times New Roman" w:hAnsi="Times New Roman"/>
          <w:bCs/>
          <w:color w:val="000000"/>
          <w:sz w:val="28"/>
          <w:szCs w:val="28"/>
        </w:rPr>
        <w:t>при нарушениях функции печени и желудочно-кишечного тракта, вызывающих нарушение всасывания витамина К;</w:t>
      </w:r>
    </w:p>
    <w:p w:rsidR="00CF695F" w:rsidRDefault="000D12F3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A2768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C96DC7" w:rsidRPr="009A2768">
        <w:rPr>
          <w:rFonts w:ascii="Times New Roman" w:hAnsi="Times New Roman"/>
          <w:bCs/>
          <w:color w:val="000000"/>
          <w:sz w:val="28"/>
          <w:szCs w:val="28"/>
        </w:rPr>
        <w:t>целиакии, воспалительных заболеваниях кишечника, муковисцидозе,</w:t>
      </w:r>
      <w:r w:rsidR="00C96DC7"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энтеритах, энтероколитах, при синдроме </w:t>
      </w:r>
      <w:proofErr w:type="spellStart"/>
      <w:r w:rsidR="00C96DC7" w:rsidRPr="00F836E1">
        <w:rPr>
          <w:rFonts w:ascii="Times New Roman" w:hAnsi="Times New Roman"/>
          <w:bCs/>
          <w:color w:val="000000"/>
          <w:sz w:val="28"/>
          <w:szCs w:val="28"/>
        </w:rPr>
        <w:t>мальабсорбции</w:t>
      </w:r>
      <w:proofErr w:type="spellEnd"/>
      <w:r w:rsidR="00C96DC7" w:rsidRPr="00F836E1">
        <w:rPr>
          <w:rFonts w:ascii="Times New Roman" w:hAnsi="Times New Roman"/>
          <w:bCs/>
          <w:color w:val="000000"/>
          <w:sz w:val="28"/>
          <w:szCs w:val="28"/>
        </w:rPr>
        <w:t>, после хирургического удаления части кишечника, при гепатитах разной этиологии, циррозе печени, опухолях поджелудочной железы, желчекаменной болезни, а также при длительном приеме антибиотиков, подавляющих микрофлору кишечника;</w:t>
      </w:r>
    </w:p>
    <w:p w:rsidR="000D12F3" w:rsidRPr="000D12F3" w:rsidRDefault="009527E8" w:rsidP="000D12F3">
      <w:pPr>
        <w:spacing w:after="0"/>
        <w:ind w:left="-567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0D12F3" w:rsidRPr="000D12F3">
        <w:rPr>
          <w:rFonts w:ascii="Times New Roman" w:hAnsi="Times New Roman"/>
          <w:bCs/>
          <w:color w:val="000000"/>
          <w:sz w:val="28"/>
          <w:szCs w:val="28"/>
        </w:rPr>
        <w:t xml:space="preserve"> геморрагических состояний вследствие нарушений свертывания крови,</w:t>
      </w:r>
    </w:p>
    <w:p w:rsidR="000D12F3" w:rsidRPr="000D12F3" w:rsidRDefault="000D12F3" w:rsidP="000D12F3">
      <w:pPr>
        <w:spacing w:after="0"/>
        <w:ind w:left="-567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12F3">
        <w:rPr>
          <w:rFonts w:ascii="Times New Roman" w:hAnsi="Times New Roman"/>
          <w:bCs/>
          <w:color w:val="000000"/>
          <w:sz w:val="28"/>
          <w:szCs w:val="28"/>
        </w:rPr>
        <w:t xml:space="preserve">связанных с аномальным образованием протромбина (II), </w:t>
      </w:r>
      <w:proofErr w:type="spellStart"/>
      <w:r w:rsidRPr="000D12F3">
        <w:rPr>
          <w:rFonts w:ascii="Times New Roman" w:hAnsi="Times New Roman"/>
          <w:bCs/>
          <w:color w:val="000000"/>
          <w:sz w:val="28"/>
          <w:szCs w:val="28"/>
        </w:rPr>
        <w:t>проконвертина</w:t>
      </w:r>
      <w:proofErr w:type="spellEnd"/>
      <w:r w:rsidRPr="000D12F3">
        <w:rPr>
          <w:rFonts w:ascii="Times New Roman" w:hAnsi="Times New Roman"/>
          <w:bCs/>
          <w:color w:val="000000"/>
          <w:sz w:val="28"/>
          <w:szCs w:val="28"/>
        </w:rPr>
        <w:t xml:space="preserve"> (VII),</w:t>
      </w:r>
    </w:p>
    <w:p w:rsidR="009527E8" w:rsidRDefault="000D12F3" w:rsidP="000D12F3">
      <w:pPr>
        <w:spacing w:after="0"/>
        <w:ind w:left="-567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12F3">
        <w:rPr>
          <w:rFonts w:ascii="Times New Roman" w:hAnsi="Times New Roman"/>
          <w:bCs/>
          <w:color w:val="000000"/>
          <w:sz w:val="28"/>
          <w:szCs w:val="28"/>
        </w:rPr>
        <w:t>IX, Х факторов свертывания, в том числе при</w:t>
      </w:r>
      <w:r w:rsidR="00EE40BB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EE40BB" w:rsidRDefault="00EE40BB" w:rsidP="00EE40BB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E40BB">
        <w:rPr>
          <w:rFonts w:ascii="Times New Roman" w:hAnsi="Times New Roman"/>
          <w:bCs/>
          <w:color w:val="000000"/>
          <w:sz w:val="28"/>
          <w:szCs w:val="28"/>
          <w:highlight w:val="green"/>
        </w:rPr>
        <w:t xml:space="preserve">•    терапии антагонистами витамина К </w:t>
      </w:r>
      <w:r>
        <w:rPr>
          <w:rFonts w:ascii="Times New Roman" w:hAnsi="Times New Roman"/>
          <w:bCs/>
          <w:color w:val="000000"/>
          <w:sz w:val="28"/>
          <w:szCs w:val="28"/>
          <w:highlight w:val="green"/>
        </w:rPr>
        <w:t>(варфарин, ингибиторы тромбина)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54779" w:rsidRPr="00F836E1" w:rsidRDefault="00454779" w:rsidP="00454779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>• отравлении антикоагулянтами непрямого действия (</w:t>
      </w:r>
      <w:proofErr w:type="spellStart"/>
      <w:r w:rsidRPr="00F836E1">
        <w:rPr>
          <w:rFonts w:ascii="Times New Roman" w:hAnsi="Times New Roman"/>
          <w:bCs/>
          <w:color w:val="000000"/>
          <w:sz w:val="28"/>
          <w:szCs w:val="28"/>
        </w:rPr>
        <w:t>кумаринового</w:t>
      </w:r>
      <w:proofErr w:type="spellEnd"/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spellStart"/>
      <w:r w:rsidRPr="00F836E1">
        <w:rPr>
          <w:rFonts w:ascii="Times New Roman" w:hAnsi="Times New Roman"/>
          <w:bCs/>
          <w:color w:val="000000"/>
          <w:sz w:val="28"/>
          <w:szCs w:val="28"/>
        </w:rPr>
        <w:t>индандионового</w:t>
      </w:r>
      <w:proofErr w:type="spellEnd"/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рядов, салицилатами</w:t>
      </w:r>
      <w:r w:rsidR="000D12F3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E40BB" w:rsidRDefault="00454779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779">
        <w:rPr>
          <w:rFonts w:ascii="Times New Roman" w:hAnsi="Times New Roman"/>
          <w:bCs/>
          <w:color w:val="000000"/>
          <w:sz w:val="28"/>
          <w:szCs w:val="28"/>
        </w:rPr>
        <w:t>•</w:t>
      </w:r>
      <w:r w:rsidR="00C96DC7"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наследственной предрасположенности или приобретенного дефицита плазме</w:t>
      </w:r>
      <w:r w:rsidR="00EE40BB">
        <w:rPr>
          <w:rFonts w:ascii="Times New Roman" w:hAnsi="Times New Roman"/>
          <w:bCs/>
          <w:color w:val="000000"/>
          <w:sz w:val="28"/>
          <w:szCs w:val="28"/>
        </w:rPr>
        <w:t>нных факторов свертывания крови.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>12. Противопоказанием</w:t>
      </w:r>
      <w:r w:rsidRPr="00F836E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к применению препарата </w:t>
      </w:r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>Конафлион</w:t>
      </w:r>
      <w:r w:rsidRPr="00F836E1">
        <w:rPr>
          <w:rFonts w:ascii="Times New Roman" w:hAnsi="Times New Roman"/>
          <w:sz w:val="28"/>
          <w:szCs w:val="28"/>
        </w:rPr>
        <w:t xml:space="preserve"> является индивидуальная повышенная чувствительность животного к компонентам препарата, повышенная свертываемость крови (</w:t>
      </w:r>
      <w:proofErr w:type="spellStart"/>
      <w:r w:rsidRPr="00F836E1">
        <w:rPr>
          <w:rFonts w:ascii="Times New Roman" w:hAnsi="Times New Roman"/>
          <w:sz w:val="28"/>
          <w:szCs w:val="28"/>
        </w:rPr>
        <w:t>гиперкоагуляция</w:t>
      </w:r>
      <w:proofErr w:type="spellEnd"/>
      <w:r w:rsidRPr="00F836E1">
        <w:rPr>
          <w:rFonts w:ascii="Times New Roman" w:hAnsi="Times New Roman"/>
          <w:sz w:val="28"/>
          <w:szCs w:val="28"/>
        </w:rPr>
        <w:t xml:space="preserve">), холестатическая желтуха, склонность к тромбозам, </w:t>
      </w:r>
      <w:proofErr w:type="spellStart"/>
      <w:r w:rsidRPr="00F836E1">
        <w:rPr>
          <w:rFonts w:ascii="Times New Roman" w:hAnsi="Times New Roman"/>
          <w:sz w:val="28"/>
          <w:szCs w:val="28"/>
        </w:rPr>
        <w:t>тромбоэболии</w:t>
      </w:r>
      <w:proofErr w:type="spellEnd"/>
      <w:r w:rsidRPr="00F836E1">
        <w:rPr>
          <w:rFonts w:ascii="Times New Roman" w:hAnsi="Times New Roman"/>
          <w:sz w:val="28"/>
          <w:szCs w:val="28"/>
        </w:rPr>
        <w:t>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pacing w:val="-4"/>
          <w:sz w:val="28"/>
          <w:szCs w:val="28"/>
        </w:rPr>
        <w:t>Следует с осторожностью назначать животным с печеночной недостаточностью.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>13</w:t>
      </w:r>
      <w:r w:rsidRPr="00F836E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. При работе с препаратом </w:t>
      </w:r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>Конафлион</w:t>
      </w:r>
      <w:r w:rsidRPr="00F836E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следует соблюдать общие правила личной гигиены и техники безопасности, предусмотренные при работе с лекарственными препаратами.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Людям с гиперчувствительностью к компонентам лекарственного препарата следует избегать прямого контакта с </w:t>
      </w:r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>Конафлион</w:t>
      </w:r>
      <w:r w:rsidRPr="00F836E1">
        <w:rPr>
          <w:rFonts w:ascii="Times New Roman" w:hAnsi="Times New Roman"/>
          <w:bCs/>
          <w:color w:val="000000"/>
          <w:spacing w:val="-4"/>
          <w:sz w:val="28"/>
          <w:szCs w:val="28"/>
        </w:rPr>
        <w:t>. Во время работы с препаратом запрещается курить, пить и принимать пищу. По окончании работы с препаратом руки следует вымыть теплой водой с мылом. Пустую тару из-под лекарственного препарата запрещается использовать для бытовых целей, она подлежит утилизации с бытовыми отходами.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При случайном контакте лекарственного препарата с кожей или слизистыми оболочками глаз, их необходимо промыть большим количеством воды. В случае появления аллергических реакций или при случайном попадании лекарственного </w:t>
      </w:r>
      <w:r w:rsidRPr="00F836E1">
        <w:rPr>
          <w:rFonts w:ascii="Times New Roman" w:hAnsi="Times New Roman"/>
          <w:bCs/>
          <w:color w:val="000000"/>
          <w:spacing w:val="-4"/>
          <w:sz w:val="28"/>
          <w:szCs w:val="28"/>
        </w:rPr>
        <w:lastRenderedPageBreak/>
        <w:t>препарата в организм человека следует немедленно обратиться в медицинское учреждение (при себе иметь инструкцию по применению препарата или этикетку).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>14. Решение о возможности применения препарата во время беременности должно быть принято лечащим ветеринарным врачом на основании оценки ожидаемой пользы для матери и потенциального риска для плода.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15. </w:t>
      </w:r>
      <w:r w:rsidRPr="00F836E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Конафлион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вводят собакам и кошкам внутривенно, внутримышечно, подкожно в дозе 0,1 – 0,5 мл препарата на 1 кг массы тела животного (1 – 5 мг </w:t>
      </w:r>
      <w:proofErr w:type="spellStart"/>
      <w:r w:rsidRPr="00F836E1">
        <w:rPr>
          <w:rFonts w:ascii="Times New Roman" w:hAnsi="Times New Roman"/>
          <w:bCs/>
          <w:color w:val="000000"/>
          <w:sz w:val="28"/>
          <w:szCs w:val="28"/>
        </w:rPr>
        <w:t>фитоменадиона</w:t>
      </w:r>
      <w:proofErr w:type="spellEnd"/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на 1 кг). Доза препарата, кратность применения и продолжительность курса лечения устанавливается ветеринарным врачом индивидуально в зависимости от показаний, тяжести заболевания и состояния животного. 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 внутривенном введении </w:t>
      </w:r>
      <w:r w:rsidRPr="00F836E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Конафлион</w:t>
      </w:r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вводят медленно, со скоростью инфузии, не превышающей 5 мг/мин. Допускается совместное применение препарата </w:t>
      </w:r>
      <w:r w:rsidRPr="00F836E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Конафлион</w:t>
      </w:r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только с физиологическим раствором или 5%-</w:t>
      </w:r>
      <w:proofErr w:type="spellStart"/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>ным</w:t>
      </w:r>
      <w:proofErr w:type="spellEnd"/>
      <w:r w:rsidRPr="00F836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раствором глюкозы.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При острой </w:t>
      </w:r>
      <w:proofErr w:type="spellStart"/>
      <w:r w:rsidRPr="00F836E1">
        <w:rPr>
          <w:rFonts w:ascii="Times New Roman" w:hAnsi="Times New Roman"/>
          <w:bCs/>
          <w:color w:val="000000"/>
          <w:sz w:val="28"/>
          <w:szCs w:val="28"/>
        </w:rPr>
        <w:t>гипопротромбинемии</w:t>
      </w:r>
      <w:proofErr w:type="spellEnd"/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(сопровождающейся кровотечением) рекомендуется применять препарат внутривенно в дозе 0,1 – 0,25 мл на 1 кг массы тела животного (1 – 2,5 мг </w:t>
      </w:r>
      <w:proofErr w:type="spellStart"/>
      <w:r w:rsidRPr="00F836E1">
        <w:rPr>
          <w:rFonts w:ascii="Times New Roman" w:hAnsi="Times New Roman"/>
          <w:bCs/>
          <w:color w:val="000000"/>
          <w:sz w:val="28"/>
          <w:szCs w:val="28"/>
        </w:rPr>
        <w:t>фитоменадиона</w:t>
      </w:r>
      <w:proofErr w:type="spellEnd"/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на 1 кг). При подострой </w:t>
      </w:r>
      <w:proofErr w:type="spellStart"/>
      <w:r w:rsidRPr="00F836E1">
        <w:rPr>
          <w:rFonts w:ascii="Times New Roman" w:hAnsi="Times New Roman"/>
          <w:bCs/>
          <w:color w:val="000000"/>
          <w:sz w:val="28"/>
          <w:szCs w:val="28"/>
        </w:rPr>
        <w:t>гипопротромбинемии</w:t>
      </w:r>
      <w:proofErr w:type="spellEnd"/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- внутримышечно или подкожно в дозе 0,1 – 0,25 мл на 1 кг массы тела животного (1 – 2,5 мг </w:t>
      </w:r>
      <w:proofErr w:type="spellStart"/>
      <w:r w:rsidRPr="00F836E1">
        <w:rPr>
          <w:rFonts w:ascii="Times New Roman" w:hAnsi="Times New Roman"/>
          <w:bCs/>
          <w:color w:val="000000"/>
          <w:sz w:val="28"/>
          <w:szCs w:val="28"/>
        </w:rPr>
        <w:t>фитоменадиона</w:t>
      </w:r>
      <w:proofErr w:type="spellEnd"/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на 1 кг). Препарат вводится каждые 12 часов в течение 2-3 дней, затем необходимо провести оценку показателей </w:t>
      </w:r>
      <w:proofErr w:type="spellStart"/>
      <w:r w:rsidRPr="00F836E1">
        <w:rPr>
          <w:rFonts w:ascii="Times New Roman" w:hAnsi="Times New Roman"/>
          <w:bCs/>
          <w:color w:val="000000"/>
          <w:sz w:val="28"/>
          <w:szCs w:val="28"/>
        </w:rPr>
        <w:t>протромбинового</w:t>
      </w:r>
      <w:proofErr w:type="spellEnd"/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времени или скорости остановки кровотечения. Решение о прекращении или продлении курса принимается в зависимости от результатов исследований.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При необходимости проведения биопсии печени перед забором материала рекомендуется применять </w:t>
      </w:r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>Конафлион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в дозе 0,1 мл на кг массы тела животного (1,0 мг </w:t>
      </w:r>
      <w:proofErr w:type="spellStart"/>
      <w:r w:rsidRPr="00F836E1">
        <w:rPr>
          <w:rFonts w:ascii="Times New Roman" w:hAnsi="Times New Roman"/>
          <w:bCs/>
          <w:color w:val="000000"/>
          <w:sz w:val="28"/>
          <w:szCs w:val="28"/>
        </w:rPr>
        <w:t>фитоменадиона</w:t>
      </w:r>
      <w:proofErr w:type="spellEnd"/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на 1 кг) подкожно или внутримышечно каждые 12 часов, в течение 2 дней. После курсового применения препарата необходимо оценить время свертывания крови. При результате теста менее 7 мин, возможно проведение биопсии. Если время свертывания более 7 мин, биопсию необходимо отложить и провести повторный курс препарата в дозе 0,25 мл на кг массы тела животного (2,5 мг </w:t>
      </w:r>
      <w:proofErr w:type="spellStart"/>
      <w:r w:rsidRPr="00F836E1">
        <w:rPr>
          <w:rFonts w:ascii="Times New Roman" w:hAnsi="Times New Roman"/>
          <w:bCs/>
          <w:color w:val="000000"/>
          <w:sz w:val="28"/>
          <w:szCs w:val="28"/>
        </w:rPr>
        <w:t>фитоменадиона</w:t>
      </w:r>
      <w:proofErr w:type="spellEnd"/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на 1 кг) подкожно или внутримышечно каждые 12 часов, в течение 2 дней. При отсутствии влияния на время свертывания крови, биопсию необходимо отложить и рассмотреть целесообразность введения донорской плазмы.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 xml:space="preserve">При использовании </w:t>
      </w:r>
      <w:proofErr w:type="spellStart"/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>Конафлион</w:t>
      </w:r>
      <w:proofErr w:type="spellEnd"/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 xml:space="preserve"> для</w:t>
      </w:r>
      <w:r w:rsidRPr="00F836E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836E1">
        <w:rPr>
          <w:rFonts w:ascii="Times New Roman" w:hAnsi="Times New Roman"/>
          <w:bCs/>
          <w:sz w:val="28"/>
          <w:szCs w:val="28"/>
        </w:rPr>
        <w:t>премедикации</w:t>
      </w:r>
      <w:proofErr w:type="spellEnd"/>
      <w:r w:rsidRPr="00F836E1">
        <w:rPr>
          <w:rFonts w:ascii="Times New Roman" w:hAnsi="Times New Roman"/>
          <w:bCs/>
          <w:sz w:val="28"/>
          <w:szCs w:val="28"/>
        </w:rPr>
        <w:t xml:space="preserve"> перед операциями (в том числе у животных с патологией системы гемостаза) препарат применяют в дозе 0,1 мл на кг массы тела животного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подкожно или внутримышечно </w:t>
      </w:r>
      <w:r w:rsidRPr="00F836E1">
        <w:rPr>
          <w:rFonts w:ascii="Times New Roman" w:hAnsi="Times New Roman"/>
          <w:bCs/>
          <w:sz w:val="28"/>
          <w:szCs w:val="28"/>
        </w:rPr>
        <w:t xml:space="preserve">(1,0 мг </w:t>
      </w:r>
      <w:proofErr w:type="spellStart"/>
      <w:r w:rsidRPr="00F836E1">
        <w:rPr>
          <w:rFonts w:ascii="Times New Roman" w:hAnsi="Times New Roman"/>
          <w:bCs/>
          <w:sz w:val="28"/>
          <w:szCs w:val="28"/>
        </w:rPr>
        <w:t>фитоменадиона</w:t>
      </w:r>
      <w:proofErr w:type="spellEnd"/>
      <w:r w:rsidRPr="00F836E1">
        <w:rPr>
          <w:rFonts w:ascii="Times New Roman" w:hAnsi="Times New Roman"/>
          <w:bCs/>
          <w:sz w:val="28"/>
          <w:szCs w:val="28"/>
        </w:rPr>
        <w:t xml:space="preserve"> на 1 кг) каждые 12 часов, в течение 2 дней.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lastRenderedPageBreak/>
        <w:t>При геморрагических состояниях, вызванных отравлением: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- родентицидами короткого действия, препарат назначают подкожно или внутримышечно в дозах 0,1 – 0,25 мл препарата на 1 кг массы тела животного в сутки (1 – 2,5 мг </w:t>
      </w:r>
      <w:proofErr w:type="spellStart"/>
      <w:r w:rsidRPr="00F836E1">
        <w:rPr>
          <w:rFonts w:ascii="Times New Roman" w:hAnsi="Times New Roman"/>
          <w:bCs/>
          <w:color w:val="000000"/>
          <w:sz w:val="28"/>
          <w:szCs w:val="28"/>
        </w:rPr>
        <w:t>фитоменадиона</w:t>
      </w:r>
      <w:proofErr w:type="spellEnd"/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на 1 кг) в течение 10-14 дней;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>- родентицидами длительного действия, препарат назначают подкожно или внутримышечно в дозе 0,25 – 0,5 мл препарата на 1 кг массы тела животного в сутки</w:t>
      </w:r>
      <w:r w:rsidRPr="00F836E1">
        <w:rPr>
          <w:rStyle w:val="af9"/>
        </w:rPr>
        <w:t xml:space="preserve"> 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(2,5 – 5 мг </w:t>
      </w:r>
      <w:proofErr w:type="spellStart"/>
      <w:r w:rsidRPr="00F836E1">
        <w:rPr>
          <w:rFonts w:ascii="Times New Roman" w:hAnsi="Times New Roman"/>
          <w:bCs/>
          <w:color w:val="000000"/>
          <w:sz w:val="28"/>
          <w:szCs w:val="28"/>
        </w:rPr>
        <w:t>фитоменадиона</w:t>
      </w:r>
      <w:proofErr w:type="spellEnd"/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на 1 кг) в течение 2 – 4 недель. В первые сутки рекомендуемая начальная доза составляет 0,5 мл препарата на 1 кг массы тела животного (5 мг </w:t>
      </w:r>
      <w:proofErr w:type="spellStart"/>
      <w:r w:rsidRPr="00F836E1">
        <w:rPr>
          <w:rFonts w:ascii="Times New Roman" w:hAnsi="Times New Roman"/>
          <w:bCs/>
          <w:color w:val="000000"/>
          <w:sz w:val="28"/>
          <w:szCs w:val="28"/>
        </w:rPr>
        <w:t>фитоменадиона</w:t>
      </w:r>
      <w:proofErr w:type="spellEnd"/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на 1 кг), в случае тяжелого состояния животного - препарат может быть введен двукратно с интервалом 12 часов в той же дозе. Во второй и последующие дни лечения рекомендуемая доза – 0,25 мл препарата на 1 кг массы животного в сутки (2,5 мг </w:t>
      </w:r>
      <w:proofErr w:type="spellStart"/>
      <w:r w:rsidRPr="00F836E1">
        <w:rPr>
          <w:rFonts w:ascii="Times New Roman" w:hAnsi="Times New Roman"/>
          <w:bCs/>
          <w:color w:val="000000"/>
          <w:sz w:val="28"/>
          <w:szCs w:val="28"/>
        </w:rPr>
        <w:t>фитоменадиона</w:t>
      </w:r>
      <w:proofErr w:type="spellEnd"/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на 1 кг).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F836E1">
        <w:rPr>
          <w:rFonts w:ascii="Times New Roman" w:hAnsi="Times New Roman"/>
          <w:bCs/>
          <w:sz w:val="28"/>
          <w:szCs w:val="28"/>
        </w:rPr>
        <w:t xml:space="preserve">При геморрагических состояниях, вызванных дефицитом или нарушением всасывания витамина К1, рекомендуемая доза составляет 0,1 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F836E1">
        <w:rPr>
          <w:rFonts w:ascii="Times New Roman" w:hAnsi="Times New Roman"/>
          <w:bCs/>
          <w:sz w:val="28"/>
          <w:szCs w:val="28"/>
        </w:rPr>
        <w:t xml:space="preserve">0,25 мл на 1 кг в сутки (1 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F836E1">
        <w:rPr>
          <w:rFonts w:ascii="Times New Roman" w:hAnsi="Times New Roman"/>
          <w:bCs/>
          <w:sz w:val="28"/>
          <w:szCs w:val="28"/>
        </w:rPr>
        <w:t xml:space="preserve">2,5 мг </w:t>
      </w:r>
      <w:proofErr w:type="spellStart"/>
      <w:r w:rsidRPr="00F836E1">
        <w:rPr>
          <w:rFonts w:ascii="Times New Roman" w:hAnsi="Times New Roman"/>
          <w:bCs/>
          <w:sz w:val="28"/>
          <w:szCs w:val="28"/>
        </w:rPr>
        <w:t>фитоменадиона</w:t>
      </w:r>
      <w:proofErr w:type="spellEnd"/>
      <w:r w:rsidRPr="00F836E1">
        <w:rPr>
          <w:rFonts w:ascii="Times New Roman" w:hAnsi="Times New Roman"/>
          <w:bCs/>
          <w:sz w:val="28"/>
          <w:szCs w:val="28"/>
        </w:rPr>
        <w:t xml:space="preserve"> на 1 кг) в течение 10 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F836E1">
        <w:rPr>
          <w:rFonts w:ascii="Times New Roman" w:hAnsi="Times New Roman"/>
          <w:bCs/>
          <w:sz w:val="28"/>
          <w:szCs w:val="28"/>
        </w:rPr>
        <w:t>14 дней.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>Максимальный объём введения препарата Конафлион в одно место не должен превышать 5 мл для внутримышечного введения, 10 мл для подкожного.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>При длительном применении препарата необходимо следить за показателями свертываемости крови (</w:t>
      </w:r>
      <w:proofErr w:type="spellStart"/>
      <w:r w:rsidRPr="00F836E1">
        <w:rPr>
          <w:rFonts w:ascii="Times New Roman" w:hAnsi="Times New Roman"/>
          <w:bCs/>
          <w:color w:val="000000"/>
          <w:sz w:val="28"/>
          <w:szCs w:val="28"/>
        </w:rPr>
        <w:t>протромбиновое</w:t>
      </w:r>
      <w:proofErr w:type="spellEnd"/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время, скорость остановки кровотечения).</w:t>
      </w:r>
    </w:p>
    <w:p w:rsidR="00CF695F" w:rsidRPr="000C3D0F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16. Побочных явлений и осложнений при применении препарата </w:t>
      </w:r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>Конафлион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в соответствии с настоящей инструкцией, как правило, не наблюдается. В редких случаях возможны: </w:t>
      </w:r>
      <w:proofErr w:type="spellStart"/>
      <w:r w:rsidRPr="00F836E1">
        <w:rPr>
          <w:rFonts w:ascii="Times New Roman" w:hAnsi="Times New Roman"/>
          <w:bCs/>
          <w:color w:val="000000"/>
          <w:sz w:val="28"/>
          <w:szCs w:val="28"/>
        </w:rPr>
        <w:t>гиперкоагуляция</w:t>
      </w:r>
      <w:proofErr w:type="spellEnd"/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, кратковременное снижение артериального давления, слабость, диспноэ, цианоз, тахикардия, гипербилирубинемия, желтуха, </w:t>
      </w:r>
      <w:r w:rsidRPr="000C3D0F">
        <w:rPr>
          <w:rFonts w:ascii="Times New Roman" w:hAnsi="Times New Roman"/>
          <w:bCs/>
          <w:color w:val="000000"/>
          <w:sz w:val="28"/>
          <w:szCs w:val="28"/>
        </w:rPr>
        <w:t xml:space="preserve">кожная сыпь (в т.ч. </w:t>
      </w:r>
      <w:proofErr w:type="spellStart"/>
      <w:r w:rsidRPr="000C3D0F">
        <w:rPr>
          <w:rFonts w:ascii="Times New Roman" w:hAnsi="Times New Roman"/>
          <w:bCs/>
          <w:color w:val="000000"/>
          <w:sz w:val="28"/>
          <w:szCs w:val="28"/>
        </w:rPr>
        <w:t>эритематозная</w:t>
      </w:r>
      <w:proofErr w:type="spellEnd"/>
      <w:r w:rsidRPr="000C3D0F">
        <w:rPr>
          <w:rFonts w:ascii="Times New Roman" w:hAnsi="Times New Roman"/>
          <w:bCs/>
          <w:color w:val="000000"/>
          <w:sz w:val="28"/>
          <w:szCs w:val="28"/>
        </w:rPr>
        <w:t>, крапивница), зуд и гематомы в месте введения.</w:t>
      </w:r>
    </w:p>
    <w:p w:rsidR="00F836E1" w:rsidRPr="00F836E1" w:rsidRDefault="00F836E1">
      <w:pPr>
        <w:spacing w:after="0"/>
        <w:ind w:left="-567" w:firstLine="283"/>
        <w:jc w:val="both"/>
        <w:rPr>
          <w:bCs/>
          <w:color w:val="000000"/>
          <w:sz w:val="28"/>
          <w:szCs w:val="28"/>
        </w:rPr>
      </w:pPr>
      <w:r w:rsidRPr="000C3D0F">
        <w:rPr>
          <w:rFonts w:ascii="Times New Roman" w:hAnsi="Times New Roman"/>
          <w:bCs/>
          <w:color w:val="000000"/>
          <w:sz w:val="28"/>
          <w:szCs w:val="28"/>
        </w:rPr>
        <w:t>При внутривенном введении возможны реакции гиперчувствительности, включая шок, остановку сердца и/или дыхания, которые могут возникнуть при несоблюдении рекомендаций по скорости инфузии и разведению</w:t>
      </w:r>
      <w:r w:rsidRPr="000C3D0F">
        <w:rPr>
          <w:bCs/>
          <w:color w:val="000000"/>
          <w:sz w:val="28"/>
          <w:szCs w:val="28"/>
        </w:rPr>
        <w:t>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При повышенной индивидуальной чувствительности к препарату и проявлении аллергических реакций его применение прекращают, животному назначают антигистаминные препараты и другие средства симптоматической терапии. </w:t>
      </w:r>
    </w:p>
    <w:p w:rsid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C3D0F">
        <w:rPr>
          <w:rFonts w:ascii="Times New Roman" w:hAnsi="Times New Roman"/>
          <w:bCs/>
          <w:color w:val="000000"/>
          <w:sz w:val="28"/>
          <w:szCs w:val="28"/>
        </w:rPr>
        <w:t xml:space="preserve">17. </w:t>
      </w:r>
      <w:r w:rsidR="00F836E1" w:rsidRPr="000C3D0F">
        <w:rPr>
          <w:rFonts w:ascii="Times New Roman" w:hAnsi="Times New Roman"/>
          <w:bCs/>
          <w:color w:val="000000"/>
          <w:sz w:val="28"/>
          <w:szCs w:val="28"/>
        </w:rPr>
        <w:t>В случае передозировки возможны угнетение, рвота, тахикардия.</w:t>
      </w:r>
      <w:r w:rsidR="00F836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18. При одновременном применении </w:t>
      </w:r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>с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непрямыми антикоагулянтами</w:t>
      </w:r>
      <w:r w:rsidRPr="00F836E1">
        <w:rPr>
          <w:rFonts w:ascii="Times New Roman" w:eastAsia="TimesNewRoman" w:hAnsi="Times New Roman"/>
          <w:bCs/>
          <w:color w:val="000000"/>
          <w:spacing w:val="-6"/>
          <w:sz w:val="28"/>
          <w:szCs w:val="28"/>
        </w:rPr>
        <w:t xml:space="preserve"> Конафлион</w:t>
      </w:r>
      <w:r w:rsidRPr="00F836E1">
        <w:rPr>
          <w:rFonts w:ascii="Times New Roman" w:hAnsi="Times New Roman"/>
          <w:bCs/>
          <w:color w:val="000000"/>
          <w:sz w:val="28"/>
          <w:szCs w:val="28"/>
        </w:rPr>
        <w:t xml:space="preserve"> может блокировать их действие.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>19. Особенностей действия препарата при его первом применении и отмене не выявлено.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>20. Следует избегать пропусков при применении очередной дозы лекарственного препарата, так как это может привести к снижению терапевтической эффективности. В случае пропуска одной дозы применение препарата необходимо восстановить в той же дозе и по той же схеме.</w:t>
      </w:r>
    </w:p>
    <w:p w:rsidR="00CF695F" w:rsidRPr="00F836E1" w:rsidRDefault="00C96DC7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lastRenderedPageBreak/>
        <w:t>21. Лекарственный препарат не предназначен для применения продуктивным животным.</w:t>
      </w:r>
    </w:p>
    <w:p w:rsidR="00CF695F" w:rsidRPr="00F836E1" w:rsidRDefault="00CF695F">
      <w:pPr>
        <w:spacing w:after="0"/>
        <w:ind w:left="-567" w:firstLine="28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0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CF695F" w:rsidRPr="00F836E1">
        <w:tc>
          <w:tcPr>
            <w:tcW w:w="5637" w:type="dxa"/>
          </w:tcPr>
          <w:p w:rsidR="00CF695F" w:rsidRPr="00F836E1" w:rsidRDefault="00C96DC7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836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и адрес производственной площадки производителя лекарственного препарата для ветеринарного применения</w:t>
            </w:r>
          </w:p>
        </w:tc>
        <w:tc>
          <w:tcPr>
            <w:tcW w:w="4394" w:type="dxa"/>
          </w:tcPr>
          <w:p w:rsidR="00CF695F" w:rsidRPr="00F836E1" w:rsidRDefault="00C96DC7">
            <w:pPr>
              <w:spacing w:after="0" w:line="300" w:lineRule="exact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836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ООО «НИТА-ФАРМ»; 410010,</w:t>
            </w:r>
          </w:p>
          <w:p w:rsidR="00CF695F" w:rsidRPr="00F836E1" w:rsidRDefault="00C96DC7">
            <w:pPr>
              <w:spacing w:after="0" w:line="300" w:lineRule="exact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836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 Саратов, ул. им. Осипова В.И., д.1.</w:t>
            </w:r>
          </w:p>
          <w:p w:rsidR="00CF695F" w:rsidRPr="00F836E1" w:rsidRDefault="00CF695F">
            <w:pPr>
              <w:spacing w:after="144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F695F" w:rsidRPr="00F836E1">
        <w:trPr>
          <w:trHeight w:val="1450"/>
        </w:trPr>
        <w:tc>
          <w:tcPr>
            <w:tcW w:w="5637" w:type="dxa"/>
          </w:tcPr>
          <w:p w:rsidR="00CF695F" w:rsidRPr="00F836E1" w:rsidRDefault="00C96DC7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836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и адрес организации, уполномоченной держателем или владельцем регистрационного удостоверения лекарственного препарата на принятие претензий от потребителя</w:t>
            </w:r>
          </w:p>
          <w:p w:rsidR="00CF695F" w:rsidRPr="00F836E1" w:rsidRDefault="00CF695F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F695F" w:rsidRPr="00F836E1" w:rsidRDefault="00CF695F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F695F" w:rsidRPr="00F836E1" w:rsidRDefault="00CF695F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CF695F" w:rsidRPr="00F836E1" w:rsidRDefault="00C96DC7">
            <w:pPr>
              <w:spacing w:after="0" w:line="300" w:lineRule="exact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836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ООО «НИТА-ФАРМ»; 410010, </w:t>
            </w:r>
          </w:p>
          <w:p w:rsidR="00CF695F" w:rsidRPr="00F836E1" w:rsidRDefault="00C96DC7">
            <w:pPr>
              <w:spacing w:after="0" w:line="300" w:lineRule="exact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836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 Саратов, ул. им. Осипова В.И., д.1.</w:t>
            </w:r>
          </w:p>
        </w:tc>
      </w:tr>
    </w:tbl>
    <w:p w:rsidR="00CF695F" w:rsidRDefault="009A03B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6E1">
        <w:rPr>
          <w:rFonts w:ascii="Times New Roman" w:hAnsi="Times New Roman"/>
          <w:bCs/>
          <w:color w:val="000000"/>
          <w:sz w:val="28"/>
          <w:szCs w:val="28"/>
        </w:rPr>
        <w:t>Начальник ОРиС                                                                        Васильченко Д. И.</w:t>
      </w:r>
    </w:p>
    <w:sectPr w:rsidR="00CF695F">
      <w:footerReference w:type="default" r:id="rId8"/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297E" w:rsidRDefault="0051297E">
      <w:pPr>
        <w:spacing w:after="0" w:line="240" w:lineRule="auto"/>
      </w:pPr>
      <w:r>
        <w:separator/>
      </w:r>
    </w:p>
  </w:endnote>
  <w:endnote w:type="continuationSeparator" w:id="0">
    <w:p w:rsidR="0051297E" w:rsidRDefault="0051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695F" w:rsidRDefault="00C96DC7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EE40BB">
      <w:rPr>
        <w:noProof/>
      </w:rPr>
      <w:t>6</w:t>
    </w:r>
    <w:r>
      <w:fldChar w:fldCharType="end"/>
    </w:r>
  </w:p>
  <w:p w:rsidR="00CF695F" w:rsidRDefault="00CF695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297E" w:rsidRDefault="0051297E">
      <w:pPr>
        <w:spacing w:after="0" w:line="240" w:lineRule="auto"/>
      </w:pPr>
      <w:r>
        <w:separator/>
      </w:r>
    </w:p>
  </w:footnote>
  <w:footnote w:type="continuationSeparator" w:id="0">
    <w:p w:rsidR="0051297E" w:rsidRDefault="0051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4D3D"/>
    <w:multiLevelType w:val="hybridMultilevel"/>
    <w:tmpl w:val="D9F2C25C"/>
    <w:lvl w:ilvl="0" w:tplc="F622F67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auto"/>
        <w:sz w:val="22"/>
      </w:rPr>
    </w:lvl>
    <w:lvl w:ilvl="1" w:tplc="A1C0D838">
      <w:start w:val="1"/>
      <w:numFmt w:val="lowerLetter"/>
      <w:lvlText w:val="%2."/>
      <w:lvlJc w:val="left"/>
      <w:pPr>
        <w:ind w:left="1440" w:hanging="360"/>
      </w:pPr>
    </w:lvl>
    <w:lvl w:ilvl="2" w:tplc="747E7038">
      <w:start w:val="1"/>
      <w:numFmt w:val="lowerRoman"/>
      <w:lvlText w:val="%3."/>
      <w:lvlJc w:val="right"/>
      <w:pPr>
        <w:ind w:left="2160" w:hanging="180"/>
      </w:pPr>
    </w:lvl>
    <w:lvl w:ilvl="3" w:tplc="AFAE35D4">
      <w:start w:val="1"/>
      <w:numFmt w:val="decimal"/>
      <w:lvlText w:val="%4."/>
      <w:lvlJc w:val="left"/>
      <w:pPr>
        <w:ind w:left="2880" w:hanging="360"/>
      </w:pPr>
    </w:lvl>
    <w:lvl w:ilvl="4" w:tplc="77B6E2C8">
      <w:start w:val="1"/>
      <w:numFmt w:val="lowerLetter"/>
      <w:lvlText w:val="%5."/>
      <w:lvlJc w:val="left"/>
      <w:pPr>
        <w:ind w:left="3600" w:hanging="360"/>
      </w:pPr>
    </w:lvl>
    <w:lvl w:ilvl="5" w:tplc="9E56CEF4">
      <w:start w:val="1"/>
      <w:numFmt w:val="lowerRoman"/>
      <w:lvlText w:val="%6."/>
      <w:lvlJc w:val="right"/>
      <w:pPr>
        <w:ind w:left="4320" w:hanging="180"/>
      </w:pPr>
    </w:lvl>
    <w:lvl w:ilvl="6" w:tplc="07C09EE4">
      <w:start w:val="1"/>
      <w:numFmt w:val="decimal"/>
      <w:lvlText w:val="%7."/>
      <w:lvlJc w:val="left"/>
      <w:pPr>
        <w:ind w:left="5040" w:hanging="360"/>
      </w:pPr>
    </w:lvl>
    <w:lvl w:ilvl="7" w:tplc="FFA27BFC">
      <w:start w:val="1"/>
      <w:numFmt w:val="lowerLetter"/>
      <w:lvlText w:val="%8."/>
      <w:lvlJc w:val="left"/>
      <w:pPr>
        <w:ind w:left="5760" w:hanging="360"/>
      </w:pPr>
    </w:lvl>
    <w:lvl w:ilvl="8" w:tplc="DA023D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3067"/>
    <w:multiLevelType w:val="hybridMultilevel"/>
    <w:tmpl w:val="464C54B4"/>
    <w:lvl w:ilvl="0" w:tplc="E2B61B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E26D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62E4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FC4C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FA7A9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E486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EE42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46C6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FA8E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E97B29"/>
    <w:multiLevelType w:val="hybridMultilevel"/>
    <w:tmpl w:val="39526644"/>
    <w:lvl w:ilvl="0" w:tplc="95BA9CD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5B0C5A60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80A2452E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639A69CA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EC5402AE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C0E804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7BEA20A4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966AE63C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9ECE550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F012114"/>
    <w:multiLevelType w:val="hybridMultilevel"/>
    <w:tmpl w:val="5600B324"/>
    <w:lvl w:ilvl="0" w:tplc="FABA561E">
      <w:start w:val="14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28801DA2">
      <w:start w:val="1"/>
      <w:numFmt w:val="lowerLetter"/>
      <w:lvlText w:val="%2."/>
      <w:lvlJc w:val="left"/>
      <w:pPr>
        <w:ind w:left="1440" w:hanging="360"/>
      </w:pPr>
    </w:lvl>
    <w:lvl w:ilvl="2" w:tplc="242C18AA">
      <w:start w:val="1"/>
      <w:numFmt w:val="lowerRoman"/>
      <w:lvlText w:val="%3."/>
      <w:lvlJc w:val="right"/>
      <w:pPr>
        <w:ind w:left="2160" w:hanging="180"/>
      </w:pPr>
    </w:lvl>
    <w:lvl w:ilvl="3" w:tplc="8D14AF5C">
      <w:start w:val="1"/>
      <w:numFmt w:val="decimal"/>
      <w:lvlText w:val="%4."/>
      <w:lvlJc w:val="left"/>
      <w:pPr>
        <w:ind w:left="2880" w:hanging="360"/>
      </w:pPr>
    </w:lvl>
    <w:lvl w:ilvl="4" w:tplc="064CCDB8">
      <w:start w:val="1"/>
      <w:numFmt w:val="lowerLetter"/>
      <w:lvlText w:val="%5."/>
      <w:lvlJc w:val="left"/>
      <w:pPr>
        <w:ind w:left="3600" w:hanging="360"/>
      </w:pPr>
    </w:lvl>
    <w:lvl w:ilvl="5" w:tplc="C4966B80">
      <w:start w:val="1"/>
      <w:numFmt w:val="lowerRoman"/>
      <w:lvlText w:val="%6."/>
      <w:lvlJc w:val="right"/>
      <w:pPr>
        <w:ind w:left="4320" w:hanging="180"/>
      </w:pPr>
    </w:lvl>
    <w:lvl w:ilvl="6" w:tplc="96024F3A">
      <w:start w:val="1"/>
      <w:numFmt w:val="decimal"/>
      <w:lvlText w:val="%7."/>
      <w:lvlJc w:val="left"/>
      <w:pPr>
        <w:ind w:left="5040" w:hanging="360"/>
      </w:pPr>
    </w:lvl>
    <w:lvl w:ilvl="7" w:tplc="BAD28E48">
      <w:start w:val="1"/>
      <w:numFmt w:val="lowerLetter"/>
      <w:lvlText w:val="%8."/>
      <w:lvlJc w:val="left"/>
      <w:pPr>
        <w:ind w:left="5760" w:hanging="360"/>
      </w:pPr>
    </w:lvl>
    <w:lvl w:ilvl="8" w:tplc="E6E47E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15736"/>
    <w:multiLevelType w:val="hybridMultilevel"/>
    <w:tmpl w:val="FE5A849A"/>
    <w:lvl w:ilvl="0" w:tplc="9A58C94A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D11CDBD2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ABE27914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8D4AB2E4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65108B5E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D0EE606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8AE2AC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6E58AFAA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BFB051A2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F0551FA"/>
    <w:multiLevelType w:val="hybridMultilevel"/>
    <w:tmpl w:val="511E7936"/>
    <w:lvl w:ilvl="0" w:tplc="82509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24F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894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280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E79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873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25B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E7F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E12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44537452">
    <w:abstractNumId w:val="0"/>
  </w:num>
  <w:num w:numId="2" w16cid:durableId="755975220">
    <w:abstractNumId w:val="5"/>
  </w:num>
  <w:num w:numId="3" w16cid:durableId="1676300166">
    <w:abstractNumId w:val="3"/>
  </w:num>
  <w:num w:numId="4" w16cid:durableId="217016508">
    <w:abstractNumId w:val="2"/>
  </w:num>
  <w:num w:numId="5" w16cid:durableId="2135828592">
    <w:abstractNumId w:val="4"/>
  </w:num>
  <w:num w:numId="6" w16cid:durableId="203976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5F"/>
    <w:rsid w:val="000A264D"/>
    <w:rsid w:val="000B2ABC"/>
    <w:rsid w:val="000C3D0F"/>
    <w:rsid w:val="000D12F3"/>
    <w:rsid w:val="00155D78"/>
    <w:rsid w:val="0015713A"/>
    <w:rsid w:val="00197ECB"/>
    <w:rsid w:val="002966E4"/>
    <w:rsid w:val="003A41B4"/>
    <w:rsid w:val="00454779"/>
    <w:rsid w:val="00464EDE"/>
    <w:rsid w:val="00497B9A"/>
    <w:rsid w:val="0051297E"/>
    <w:rsid w:val="00536627"/>
    <w:rsid w:val="00612130"/>
    <w:rsid w:val="00646F76"/>
    <w:rsid w:val="00665E3F"/>
    <w:rsid w:val="00701111"/>
    <w:rsid w:val="0073169D"/>
    <w:rsid w:val="00794154"/>
    <w:rsid w:val="008415FE"/>
    <w:rsid w:val="00910474"/>
    <w:rsid w:val="009527E8"/>
    <w:rsid w:val="009A03B6"/>
    <w:rsid w:val="009A2768"/>
    <w:rsid w:val="00A502A4"/>
    <w:rsid w:val="00B76CF9"/>
    <w:rsid w:val="00C81C44"/>
    <w:rsid w:val="00C96DC7"/>
    <w:rsid w:val="00CF4F8D"/>
    <w:rsid w:val="00CF695F"/>
    <w:rsid w:val="00E357D7"/>
    <w:rsid w:val="00E828F3"/>
    <w:rsid w:val="00E87153"/>
    <w:rsid w:val="00EB53DE"/>
    <w:rsid w:val="00EC47BD"/>
    <w:rsid w:val="00EE40BB"/>
    <w:rsid w:val="00F8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D4468-CD92-4B03-ACCF-D6983698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25">
    <w:name w:val="Body Text 2"/>
    <w:basedOn w:val="a"/>
    <w:link w:val="26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2"/>
      <w:szCs w:val="22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styleId="af9">
    <w:name w:val="annotation reference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Pr>
      <w:rFonts w:ascii="Tahoma" w:hAnsi="Tahoma" w:cs="Tahoma"/>
      <w:sz w:val="16"/>
      <w:szCs w:val="16"/>
    </w:rPr>
  </w:style>
  <w:style w:type="character" w:customStyle="1" w:styleId="4Tahoma">
    <w:name w:val="Основной текст (4) + Tahoma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color w:val="000000"/>
      <w:spacing w:val="-2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st1">
    <w:name w:val="st1"/>
  </w:style>
  <w:style w:type="paragraph" w:styleId="aff0">
    <w:name w:val="Body Text Indent"/>
    <w:basedOn w:val="a"/>
    <w:link w:val="aff1"/>
    <w:uiPriority w:val="99"/>
    <w:unhideWhenUsed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rPr>
      <w:sz w:val="22"/>
      <w:szCs w:val="22"/>
    </w:rPr>
  </w:style>
  <w:style w:type="character" w:customStyle="1" w:styleId="36pt">
    <w:name w:val="Основной текст (3) + 6 pt"/>
    <w:rPr>
      <w:rFonts w:ascii="Times New Roman" w:eastAsia="Times New Roman" w:hAnsi="Times New Roman" w:cs="Times New Roman"/>
      <w:color w:val="000000"/>
      <w:spacing w:val="0"/>
      <w:position w:val="0"/>
      <w:sz w:val="12"/>
      <w:szCs w:val="12"/>
      <w:shd w:val="clear" w:color="auto" w:fill="FFFFFF"/>
      <w:lang w:val="ru-RU"/>
    </w:rPr>
  </w:style>
  <w:style w:type="character" w:customStyle="1" w:styleId="33">
    <w:name w:val="Основной текст (3)_"/>
    <w:link w:val="34"/>
    <w:rPr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after="0" w:line="158" w:lineRule="exact"/>
      <w:ind w:hanging="740"/>
    </w:pPr>
    <w:rPr>
      <w:sz w:val="13"/>
      <w:szCs w:val="13"/>
    </w:rPr>
  </w:style>
  <w:style w:type="character" w:customStyle="1" w:styleId="13">
    <w:name w:val="Основной текст Знак1"/>
    <w:uiPriority w:val="99"/>
    <w:rPr>
      <w:rFonts w:ascii="Times New Roman" w:hAnsi="Times New Roman" w:cs="Times New Roman"/>
      <w:sz w:val="22"/>
      <w:szCs w:val="22"/>
      <w:u w:val="none"/>
    </w:rPr>
  </w:style>
  <w:style w:type="character" w:styleId="aff2">
    <w:name w:val="Hyperlink"/>
    <w:uiPriority w:val="99"/>
    <w:semiHidden/>
    <w:unhideWhenUsed/>
    <w:rPr>
      <w:color w:val="0000FF"/>
      <w:u w:val="single"/>
    </w:rPr>
  </w:style>
  <w:style w:type="character" w:customStyle="1" w:styleId="BodyTextChar1">
    <w:name w:val="Body Text Char1"/>
    <w:uiPriority w:val="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f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i-provider">
    <w:name w:val="ui-provider"/>
    <w:basedOn w:val="a0"/>
  </w:style>
  <w:style w:type="paragraph" w:customStyle="1" w:styleId="opisdvfldbeg">
    <w:name w:val="opis_dvfld_beg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pisdvfld">
    <w:name w:val="opis_dvfl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rt">
    <w:name w:val="short"/>
    <w:basedOn w:val="a0"/>
  </w:style>
  <w:style w:type="paragraph" w:customStyle="1" w:styleId="Default">
    <w:name w:val="Default"/>
    <w:uiPriority w:val="99"/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mnn-name-in-link">
    <w:name w:val="mnn-name-in-lin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A7F2-159B-4E5F-9FA7-78CFD7B3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N-F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</dc:creator>
  <cp:keywords/>
  <cp:lastModifiedBy>Кирпа Анна Андреевна</cp:lastModifiedBy>
  <cp:revision>2</cp:revision>
  <dcterms:created xsi:type="dcterms:W3CDTF">2025-07-21T05:42:00Z</dcterms:created>
  <dcterms:modified xsi:type="dcterms:W3CDTF">2025-07-21T05:42:00Z</dcterms:modified>
</cp:coreProperties>
</file>