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CED1" w14:textId="77777777" w:rsidR="0052093C" w:rsidRDefault="00000000">
      <w:pPr>
        <w:spacing w:after="238" w:line="259" w:lineRule="auto"/>
        <w:ind w:left="285" w:right="158" w:hanging="10"/>
        <w:jc w:val="center"/>
      </w:pPr>
      <w:r>
        <w:t>ИНСТРУКЦИЯ</w:t>
      </w:r>
    </w:p>
    <w:p w14:paraId="70BB09C8" w14:textId="77777777" w:rsidR="0052093C" w:rsidRDefault="00000000">
      <w:pPr>
        <w:spacing w:after="3" w:line="259" w:lineRule="auto"/>
        <w:ind w:left="285" w:right="115" w:hanging="10"/>
        <w:jc w:val="center"/>
      </w:pPr>
      <w:r>
        <w:t>по применению премикса «ВитаБустер»</w:t>
      </w:r>
    </w:p>
    <w:p w14:paraId="52732009" w14:textId="77777777" w:rsidR="0052093C" w:rsidRDefault="00000000">
      <w:pPr>
        <w:spacing w:after="3" w:line="259" w:lineRule="auto"/>
        <w:ind w:left="285" w:right="115" w:hanging="10"/>
        <w:jc w:val="center"/>
      </w:pPr>
      <w:r>
        <w:t xml:space="preserve"> </w:t>
      </w:r>
    </w:p>
    <w:p w14:paraId="25A0E624" w14:textId="77777777" w:rsidR="0052093C" w:rsidRDefault="00000000">
      <w:pPr>
        <w:spacing w:after="3" w:line="259" w:lineRule="auto"/>
        <w:ind w:left="285" w:right="130" w:hanging="10"/>
        <w:jc w:val="center"/>
      </w:pPr>
      <w:r>
        <w:t>I. Общие сведения</w:t>
      </w:r>
    </w:p>
    <w:p w14:paraId="28A9C9FF" w14:textId="77777777" w:rsidR="0052093C" w:rsidRDefault="0052093C"/>
    <w:p w14:paraId="14B70A17" w14:textId="58277BC9" w:rsidR="0052093C" w:rsidRDefault="00000000">
      <w:r>
        <w:rPr>
          <w:b/>
        </w:rPr>
        <w:t xml:space="preserve">Торговое наименование премикса: </w:t>
      </w:r>
      <w:r>
        <w:t>«ВитаБустер</w:t>
      </w:r>
      <w:r w:rsidR="00F9534C">
        <w:t xml:space="preserve"> Био</w:t>
      </w:r>
      <w:r>
        <w:t>».</w:t>
      </w:r>
    </w:p>
    <w:p w14:paraId="4D0ACEA6" w14:textId="77777777" w:rsidR="0052093C" w:rsidRDefault="0052093C"/>
    <w:p w14:paraId="32A69C49" w14:textId="77777777" w:rsidR="0052093C" w:rsidRDefault="00000000">
      <w:r>
        <w:rPr>
          <w:b/>
        </w:rPr>
        <w:t xml:space="preserve">Форма премикса, соответствующая способу её применения и обеспечивающая достижение необходимого эффекта от применения премикса: </w:t>
      </w:r>
      <w:r>
        <w:t>порошок.</w:t>
      </w:r>
    </w:p>
    <w:p w14:paraId="3CC6582A" w14:textId="77777777" w:rsidR="0052093C" w:rsidRDefault="00000000">
      <w:pPr>
        <w:ind w:left="286" w:right="14" w:firstLine="0"/>
      </w:pPr>
      <w:r>
        <w:t xml:space="preserve"> </w:t>
      </w:r>
    </w:p>
    <w:p w14:paraId="20310D37" w14:textId="2E41291F" w:rsidR="0052093C" w:rsidRDefault="00000000">
      <w:pPr>
        <w:rPr>
          <w:b/>
        </w:rPr>
      </w:pPr>
      <w:r>
        <w:rPr>
          <w:b/>
        </w:rPr>
        <w:t>Наименования, количественный и качественный составы действующих и вспомогательных веществ, входящих в состав премикса</w:t>
      </w:r>
      <w:r>
        <w:t xml:space="preserve">: витамин А 900000-1100000 МЕ/кг, витамин Дз 390000-410000 МЕ/кг, витамин Е 13200-13600 мг/кг, витамин В1 640-660 мг/кг, витамин В2 640-660 мг/кг, витамин В3 900-1100 мг/кг, витамин В5 1200-1400 мг/кг, витамин В6 640-660 мг/кг, витамин В9 40-60 мг/кг, витамин Н 8-12 мг/кг, витамин С 14800-15200 мг/кг, органическое железо 9800-10200 мг/кг, органический цинк 6400-6600 мг/кг, органическая медь 540-560 мг/кг, органический марганец 5900-6100 мг/кг, кобальт  30-34 мг/кг, йод 75-85 мг/кг, </w:t>
      </w:r>
      <w:r w:rsidR="00400592">
        <w:t xml:space="preserve"> органический </w:t>
      </w:r>
      <w:r>
        <w:t>селен 29-33 мг/кг ,</w:t>
      </w:r>
      <w:r w:rsidR="00F9534C">
        <w:t xml:space="preserve"> фитобиотик, дрожжевой пробиотик, </w:t>
      </w:r>
      <w:r>
        <w:t xml:space="preserve"> лактоза, глюкоза.</w:t>
      </w:r>
    </w:p>
    <w:p w14:paraId="14D4B52D" w14:textId="77777777" w:rsidR="0052093C" w:rsidRDefault="00000000">
      <w:pPr>
        <w:ind w:right="14"/>
      </w:pPr>
      <w:r>
        <w:t>Не содержит генно-инженерно-модифицированных продуктов.</w:t>
      </w:r>
    </w:p>
    <w:p w14:paraId="3F3729AF" w14:textId="77777777" w:rsidR="0052093C" w:rsidRDefault="00000000">
      <w:pPr>
        <w:ind w:right="14"/>
      </w:pPr>
      <w:r>
        <w:t>Содержание вредных примесей не превышает предельно допустимых норм, действующих па территории Российской Федерации.</w:t>
      </w:r>
    </w:p>
    <w:p w14:paraId="4246EA1A" w14:textId="77777777" w:rsidR="0052093C" w:rsidRDefault="00000000">
      <w:pPr>
        <w:ind w:right="14"/>
      </w:pPr>
      <w:r>
        <w:rPr>
          <w:b/>
        </w:rPr>
        <w:t>Указание объёма или массы премикса (в зависимости от формы) в упаковке:</w:t>
      </w:r>
      <w:r>
        <w:t xml:space="preserve"> </w:t>
      </w:r>
    </w:p>
    <w:p w14:paraId="358FC4E2" w14:textId="77777777" w:rsidR="0052093C" w:rsidRDefault="00000000">
      <w:r>
        <w:t>По 1 кг в полимерные пакеты из бумаги или пакеты из комбинированных материалов на основе бумаги; мешки по 20 килограмм.</w:t>
      </w:r>
    </w:p>
    <w:p w14:paraId="6780D8FB" w14:textId="77777777" w:rsidR="0052093C" w:rsidRDefault="00000000">
      <w:pPr>
        <w:rPr>
          <w:lang w:eastAsia="en-US" w:bidi="en-US"/>
        </w:rPr>
      </w:pPr>
      <w:r>
        <w:rPr>
          <w:lang w:eastAsia="en-US" w:bidi="en-US"/>
        </w:rPr>
        <w:t>На единице упаковки размещается: торговое наименование премикса, наименование и адрес организации-производителя, назначение, состав, масса нетто, дата производства, номер партии, срок годности и условия хранения. Каждая единица упаковки снабжается инструкцией по применению премикса.</w:t>
      </w:r>
    </w:p>
    <w:p w14:paraId="55110EF1" w14:textId="77777777" w:rsidR="0052093C" w:rsidRDefault="00000000">
      <w:r>
        <w:rPr>
          <w:b/>
        </w:rPr>
        <w:t>Описание внешнего вида премикса:</w:t>
      </w:r>
      <w:r>
        <w:t xml:space="preserve"> </w:t>
      </w:r>
    </w:p>
    <w:p w14:paraId="0A7713C3" w14:textId="77777777" w:rsidR="0052093C" w:rsidRDefault="00000000">
      <w:pPr>
        <w:rPr>
          <w:lang w:eastAsia="en-US" w:bidi="en-US"/>
        </w:rPr>
      </w:pPr>
      <w:r>
        <w:t>Порошок от белого до светло-кремового цвета с наличием цветных включений, хорошо растворим в воде.</w:t>
      </w:r>
    </w:p>
    <w:p w14:paraId="153DDC03" w14:textId="77777777" w:rsidR="0052093C" w:rsidRDefault="00000000">
      <w:r>
        <w:rPr>
          <w:b/>
        </w:rPr>
        <w:t>Срок годности премикса с указанием на запрет её применения по истечении срока годности:</w:t>
      </w:r>
      <w:r>
        <w:t xml:space="preserve"> </w:t>
      </w:r>
    </w:p>
    <w:p w14:paraId="012E0D1A" w14:textId="77777777" w:rsidR="0052093C" w:rsidRDefault="00000000">
      <w:pPr>
        <w:rPr>
          <w:lang w:eastAsia="en-US" w:bidi="en-US"/>
        </w:rPr>
      </w:pPr>
      <w:r>
        <w:rPr>
          <w:lang w:eastAsia="en-US" w:bidi="en-US"/>
        </w:rPr>
        <w:t xml:space="preserve">6 месяцев с даты производства. </w:t>
      </w:r>
    </w:p>
    <w:p w14:paraId="5EB93FC9" w14:textId="77777777" w:rsidR="0052093C" w:rsidRDefault="00000000">
      <w:pPr>
        <w:rPr>
          <w:lang w:eastAsia="en-US" w:bidi="en-US"/>
        </w:rPr>
      </w:pPr>
      <w:r>
        <w:rPr>
          <w:lang w:eastAsia="en-US" w:bidi="en-US"/>
        </w:rPr>
        <w:t xml:space="preserve">Не </w:t>
      </w:r>
      <w:r>
        <w:t>использовать по истечении срока годности.</w:t>
      </w:r>
    </w:p>
    <w:p w14:paraId="03D0FBB5" w14:textId="77777777" w:rsidR="0052093C" w:rsidRDefault="00000000">
      <w:pPr>
        <w:pStyle w:val="20"/>
        <w:spacing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хранения премикса:</w:t>
      </w:r>
    </w:p>
    <w:p w14:paraId="03550D19" w14:textId="77777777" w:rsidR="0052093C" w:rsidRDefault="00000000">
      <w:pPr>
        <w:pStyle w:val="normal1"/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Хранить в закрытой упаковке производителя, защищённом от прямых солнечных лучей, в хорошо вентилируемом помещении при температуре от -15</w:t>
      </w:r>
      <w:r>
        <w:rPr>
          <w:rFonts w:ascii="Times New Roman" w:hAnsi="Times New Roman" w:cs="Times New Roman"/>
          <w:color w:val="auto"/>
          <w:vertAlign w:val="superscript"/>
        </w:rPr>
        <w:t>о</w:t>
      </w:r>
      <w:r>
        <w:rPr>
          <w:rFonts w:ascii="Times New Roman" w:hAnsi="Times New Roman" w:cs="Times New Roman"/>
          <w:color w:val="auto"/>
        </w:rPr>
        <w:t>С до 25</w:t>
      </w:r>
      <w:r>
        <w:rPr>
          <w:rFonts w:ascii="Times New Roman" w:hAnsi="Times New Roman" w:cs="Times New Roman"/>
          <w:color w:val="auto"/>
          <w:vertAlign w:val="superscript"/>
        </w:rPr>
        <w:t>о</w:t>
      </w:r>
      <w:r>
        <w:rPr>
          <w:rFonts w:ascii="Times New Roman" w:hAnsi="Times New Roman" w:cs="Times New Roman"/>
          <w:color w:val="auto"/>
        </w:rPr>
        <w:t>С и относительной влажности не более 75%.</w:t>
      </w:r>
    </w:p>
    <w:p w14:paraId="70E4305A" w14:textId="77777777" w:rsidR="0052093C" w:rsidRDefault="0052093C">
      <w:pPr>
        <w:spacing w:after="66" w:line="259" w:lineRule="auto"/>
        <w:ind w:left="285" w:hanging="10"/>
        <w:jc w:val="center"/>
      </w:pPr>
    </w:p>
    <w:p w14:paraId="7D1FD658" w14:textId="77777777" w:rsidR="0052093C" w:rsidRDefault="00000000">
      <w:pPr>
        <w:spacing w:after="66" w:line="259" w:lineRule="auto"/>
        <w:ind w:left="285" w:hanging="10"/>
        <w:jc w:val="center"/>
      </w:pPr>
      <w:r>
        <w:t>П. Биологические свойства</w:t>
      </w:r>
    </w:p>
    <w:p w14:paraId="496EE33B" w14:textId="77777777" w:rsidR="0052093C" w:rsidRDefault="00000000">
      <w:pPr>
        <w:ind w:right="14"/>
        <w:rPr>
          <w:color w:val="EE0000"/>
        </w:rPr>
      </w:pPr>
      <w:r>
        <w:t>Биологически активные вещества (витамины, макро-, микроэлементы и др.) введены в состав в оптимальных количествах и соотношениях с учетом физиологических потребностей телят молочного периода</w:t>
      </w:r>
      <w:r>
        <w:rPr>
          <w:color w:val="EE0000"/>
        </w:rPr>
        <w:t xml:space="preserve">. </w:t>
      </w:r>
      <w:r>
        <w:rPr>
          <w:color w:val="auto"/>
        </w:rPr>
        <w:t>Для достижения лучшей усвояемости микроэлементы представлены в органической форме.</w:t>
      </w:r>
    </w:p>
    <w:p w14:paraId="3E10329D" w14:textId="77777777" w:rsidR="0052093C" w:rsidRDefault="0052093C">
      <w:pPr>
        <w:ind w:left="425" w:right="14" w:firstLine="0"/>
        <w:jc w:val="center"/>
      </w:pPr>
    </w:p>
    <w:p w14:paraId="0E728542" w14:textId="77777777" w:rsidR="0052093C" w:rsidRDefault="00000000">
      <w:pPr>
        <w:ind w:left="425" w:right="14" w:firstLine="0"/>
        <w:jc w:val="center"/>
      </w:pPr>
      <w:r>
        <w:t>III. Порядок применения</w:t>
      </w:r>
    </w:p>
    <w:p w14:paraId="5A6EEEBF" w14:textId="563F43A2" w:rsidR="0052093C" w:rsidRDefault="00000000">
      <w:pPr>
        <w:spacing w:after="53" w:line="259" w:lineRule="auto"/>
        <w:ind w:left="0" w:right="663" w:firstLine="708"/>
      </w:pPr>
      <w:r>
        <w:t>Витаминно-минеральный премикс для обогащения цельного молока. Вводят телятам индивидуальным или групповым методом путём добавления смеси в молоко. Рекомендуемый период применения - со 2-го дня жизни до окончания молочного периода. Применять из расчета 10 г на голову в сутки. Суточную норму «ВитаБустера</w:t>
      </w:r>
      <w:r w:rsidR="00F9534C">
        <w:t xml:space="preserve"> Био</w:t>
      </w:r>
      <w:r>
        <w:t xml:space="preserve">» можно вводить </w:t>
      </w:r>
      <w:r w:rsidR="003950BA" w:rsidRPr="00D03115">
        <w:t>однократно</w:t>
      </w:r>
      <w:r w:rsidR="003950BA">
        <w:t xml:space="preserve"> </w:t>
      </w:r>
      <w:r>
        <w:t xml:space="preserve">в любую выпойку (10 грамм), либо делить кратно количеству кормлений в день (по 5 грамм при двукратном кормлении). </w:t>
      </w:r>
    </w:p>
    <w:p w14:paraId="6CC9F0F2" w14:textId="6918BEC4" w:rsidR="0052093C" w:rsidRDefault="00D03115">
      <w:pPr>
        <w:spacing w:after="53" w:line="259" w:lineRule="auto"/>
        <w:ind w:left="0" w:right="663" w:firstLine="708"/>
      </w:pPr>
      <w:r w:rsidRPr="00D03115">
        <w:t>Приготовить смесь из необходимого количества порошка и молока при температуре 38-42С</w:t>
      </w:r>
      <w:r w:rsidR="00000000">
        <w:t>, тщательно размешать в течение 3 минут. «ВитаБустер</w:t>
      </w:r>
      <w:r w:rsidR="00F9534C">
        <w:t xml:space="preserve"> Био</w:t>
      </w:r>
      <w:r w:rsidR="00000000">
        <w:t>» необходимо добавлять в молоко непосредственно перед выпойкой, выпаивать сразу после размешивания</w:t>
      </w:r>
      <w:r>
        <w:t>, возможно наличие осадка</w:t>
      </w:r>
      <w:r w:rsidR="00000000">
        <w:t xml:space="preserve">. </w:t>
      </w:r>
    </w:p>
    <w:p w14:paraId="1A2D72C5" w14:textId="0F703C75" w:rsidR="0052093C" w:rsidRDefault="00000000">
      <w:pPr>
        <w:spacing w:after="53" w:line="259" w:lineRule="auto"/>
        <w:ind w:left="0" w:right="663" w:firstLine="708"/>
      </w:pPr>
      <w:r>
        <w:t>Премикс совместим со всеми ингредиентами корма, лекарственными средствами и другими кормовыми добавками. При добавлении «ВитаБустера</w:t>
      </w:r>
      <w:r w:rsidR="00F9534C">
        <w:t xml:space="preserve"> Био</w:t>
      </w:r>
      <w:r>
        <w:t>» молоко может иметь незначительный нерастворимый осадок, обусловленный набором используемого сырья.</w:t>
      </w:r>
    </w:p>
    <w:p w14:paraId="5C98B6F9" w14:textId="77777777" w:rsidR="0052093C" w:rsidRDefault="0052093C">
      <w:pPr>
        <w:spacing w:after="53" w:line="259" w:lineRule="auto"/>
        <w:ind w:left="285" w:right="663" w:firstLine="705"/>
      </w:pPr>
    </w:p>
    <w:p w14:paraId="69B04C44" w14:textId="77777777" w:rsidR="0052093C" w:rsidRDefault="00000000">
      <w:pPr>
        <w:spacing w:after="53" w:line="259" w:lineRule="auto"/>
        <w:ind w:left="285" w:right="663" w:hanging="10"/>
        <w:jc w:val="center"/>
      </w:pPr>
      <w:r>
        <w:t>IV. Меры предосторожности и личной профилактики</w:t>
      </w:r>
    </w:p>
    <w:p w14:paraId="2B6AB66E" w14:textId="77777777" w:rsidR="0052093C" w:rsidRDefault="00000000">
      <w:pPr>
        <w:rPr>
          <w:lang w:eastAsia="en-US" w:bidi="en-US"/>
        </w:rPr>
      </w:pPr>
      <w:r>
        <w:rPr>
          <w:lang w:eastAsia="en-US" w:bidi="en-US"/>
        </w:rPr>
        <w:t xml:space="preserve">При работе с премиксом необходимо соблюдать общие правила личной гигиены и техники безопасности, предусмотренные при работе с кормовыми смесями. </w:t>
      </w:r>
    </w:p>
    <w:p w14:paraId="37E558C0" w14:textId="77777777" w:rsidR="0052093C" w:rsidRDefault="00000000">
      <w:pPr>
        <w:rPr>
          <w:lang w:eastAsia="en-US" w:bidi="en-US"/>
        </w:rPr>
      </w:pPr>
      <w:r>
        <w:rPr>
          <w:lang w:eastAsia="en-US" w:bidi="en-US"/>
        </w:rPr>
        <w:t>Все работы следует проводить с использованием спецодежды и средств индивидуальной защиты (халат, головной убор, резиновый перчатки, защитные очки, респиратор).</w:t>
      </w:r>
    </w:p>
    <w:p w14:paraId="748A9FD4" w14:textId="77777777" w:rsidR="0052093C" w:rsidRDefault="0052093C">
      <w:pPr>
        <w:ind w:left="1070" w:right="14" w:firstLine="0"/>
      </w:pPr>
    </w:p>
    <w:p w14:paraId="05227F4E" w14:textId="77777777" w:rsidR="0052093C" w:rsidRDefault="00000000">
      <w:pPr>
        <w:jc w:val="center"/>
        <w:rPr>
          <w:bCs/>
        </w:rPr>
      </w:pPr>
      <w:r>
        <w:rPr>
          <w:bCs/>
          <w:lang w:val="en-US"/>
        </w:rPr>
        <w:t>V</w:t>
      </w:r>
      <w:r>
        <w:rPr>
          <w:bCs/>
        </w:rPr>
        <w:t>. Информация о разработчике и производителе кормовой смеси</w:t>
      </w:r>
    </w:p>
    <w:p w14:paraId="177A8D68" w14:textId="77777777" w:rsidR="0052093C" w:rsidRDefault="0052093C">
      <w:pPr>
        <w:rPr>
          <w:bCs/>
        </w:rPr>
      </w:pPr>
    </w:p>
    <w:p w14:paraId="538F9FDA" w14:textId="77777777" w:rsidR="0052093C" w:rsidRDefault="00000000">
      <w:pPr>
        <w:rPr>
          <w:b/>
        </w:rPr>
      </w:pPr>
      <w:r>
        <w:rPr>
          <w:b/>
        </w:rPr>
        <w:t xml:space="preserve">Наименование и адрес в пределах места нахождения юридического лица-разработчика: </w:t>
      </w:r>
    </w:p>
    <w:p w14:paraId="47F45C91" w14:textId="77777777" w:rsidR="0052093C" w:rsidRDefault="00000000">
      <w:r>
        <w:t>ООО «НЕРОХИМ», 152150, Ярославская область, м. р-н. Ростовский, г.п. Ростов, г. Ростов Великий, ул. Пролетарская, д. 86.</w:t>
      </w:r>
    </w:p>
    <w:p w14:paraId="048FEF83" w14:textId="77777777" w:rsidR="0052093C" w:rsidRDefault="0052093C">
      <w:pPr>
        <w:rPr>
          <w:b/>
        </w:rPr>
      </w:pPr>
    </w:p>
    <w:p w14:paraId="20E416FC" w14:textId="77777777" w:rsidR="0052093C" w:rsidRDefault="00000000">
      <w:pPr>
        <w:rPr>
          <w:b/>
        </w:rPr>
      </w:pPr>
      <w:r>
        <w:rPr>
          <w:b/>
        </w:rPr>
        <w:t xml:space="preserve">Наименование и адрес в пределах места нахождения юридического лица-производителя: </w:t>
      </w:r>
    </w:p>
    <w:p w14:paraId="69528355" w14:textId="77777777" w:rsidR="0052093C" w:rsidRDefault="00000000">
      <w:r>
        <w:t>ООО «НЕРОХИМ», 152150, Ярославская область, м. р-н. Ростовский, г.п. Ростов, г. Ростов Великий, ул. Пролетарская, д. 86.</w:t>
      </w:r>
    </w:p>
    <w:p w14:paraId="1D854027" w14:textId="77777777" w:rsidR="0052093C" w:rsidRDefault="0052093C">
      <w:pPr>
        <w:rPr>
          <w:b/>
        </w:rPr>
      </w:pPr>
    </w:p>
    <w:p w14:paraId="1BFADDB4" w14:textId="77777777" w:rsidR="0052093C" w:rsidRDefault="00000000">
      <w:pPr>
        <w:rPr>
          <w:b/>
        </w:rPr>
      </w:pPr>
      <w:r>
        <w:rPr>
          <w:b/>
        </w:rPr>
        <w:t xml:space="preserve">Наименования и адреса производственных площадок производителя: </w:t>
      </w:r>
    </w:p>
    <w:p w14:paraId="02180B73" w14:textId="77777777" w:rsidR="0052093C" w:rsidRDefault="00000000">
      <w:r>
        <w:t>ООО «НЕРОХИМ», 152150, Ярославская область, м. р-н. Ростовский, г.п. Ростов, г. Ростов Великий, ул. Пролетарская, д. 86.</w:t>
      </w:r>
    </w:p>
    <w:p w14:paraId="6F7BF212" w14:textId="77777777" w:rsidR="0052093C" w:rsidRDefault="0052093C"/>
    <w:p w14:paraId="01029EB2" w14:textId="77777777" w:rsidR="0052093C" w:rsidRDefault="00000000">
      <w:r>
        <w:rPr>
          <w:b/>
        </w:rPr>
        <w:t>Регистрационный номер свидетельства о государственной регистрации генно-инженерно-модифицированного организма, предназначенного для выпуска в окружающую среду (для кормовых добавок, полученных с применением генно-инженерно-модифицированных организмов или содержащих такие организмы):</w:t>
      </w:r>
      <w:r>
        <w:t xml:space="preserve"> </w:t>
      </w:r>
    </w:p>
    <w:p w14:paraId="5C8ECA56" w14:textId="77777777" w:rsidR="0052093C" w:rsidRDefault="00000000">
      <w:r>
        <w:t xml:space="preserve">Премикс «ВитаБустер» не содержит генно-инженерно-модифицированные организмы. </w:t>
      </w:r>
    </w:p>
    <w:p w14:paraId="6CF51D82" w14:textId="77777777" w:rsidR="0052093C" w:rsidRDefault="0052093C">
      <w:pPr>
        <w:ind w:left="0" w:firstLine="0"/>
      </w:pPr>
    </w:p>
    <w:p w14:paraId="1279E87C" w14:textId="77777777" w:rsidR="0052093C" w:rsidRDefault="00000000">
      <w:r>
        <w:lastRenderedPageBreak/>
        <w:t>Директор</w:t>
      </w:r>
    </w:p>
    <w:p w14:paraId="69D89205" w14:textId="77777777" w:rsidR="0052093C" w:rsidRDefault="00000000">
      <w:r>
        <w:t>ООО «НЕРОХИМ»                                                                                                   Титов С.Г.</w:t>
      </w:r>
    </w:p>
    <w:sectPr w:rsidR="0052093C">
      <w:pgSz w:w="11980" w:h="16480"/>
      <w:pgMar w:top="851" w:right="900" w:bottom="1462" w:left="13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0DAF" w14:textId="77777777" w:rsidR="004608BF" w:rsidRDefault="004608BF">
      <w:pPr>
        <w:spacing w:line="240" w:lineRule="auto"/>
      </w:pPr>
      <w:r>
        <w:separator/>
      </w:r>
    </w:p>
  </w:endnote>
  <w:endnote w:type="continuationSeparator" w:id="0">
    <w:p w14:paraId="4F5614A2" w14:textId="77777777" w:rsidR="004608BF" w:rsidRDefault="00460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DE59" w14:textId="77777777" w:rsidR="004608BF" w:rsidRDefault="004608BF">
      <w:pPr>
        <w:spacing w:after="0"/>
      </w:pPr>
      <w:r>
        <w:separator/>
      </w:r>
    </w:p>
  </w:footnote>
  <w:footnote w:type="continuationSeparator" w:id="0">
    <w:p w14:paraId="083E0FCF" w14:textId="77777777" w:rsidR="004608BF" w:rsidRDefault="004608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2B"/>
    <w:rsid w:val="00014F96"/>
    <w:rsid w:val="000A38C2"/>
    <w:rsid w:val="000B0D4A"/>
    <w:rsid w:val="001115EC"/>
    <w:rsid w:val="00120964"/>
    <w:rsid w:val="001244E1"/>
    <w:rsid w:val="00141DE2"/>
    <w:rsid w:val="0019368B"/>
    <w:rsid w:val="001A76A6"/>
    <w:rsid w:val="001C3870"/>
    <w:rsid w:val="001E387E"/>
    <w:rsid w:val="001F13AD"/>
    <w:rsid w:val="00214C3E"/>
    <w:rsid w:val="0023202B"/>
    <w:rsid w:val="002A1768"/>
    <w:rsid w:val="002D19F8"/>
    <w:rsid w:val="002E6623"/>
    <w:rsid w:val="003950BA"/>
    <w:rsid w:val="00400592"/>
    <w:rsid w:val="004608BF"/>
    <w:rsid w:val="004A6B4E"/>
    <w:rsid w:val="0052093C"/>
    <w:rsid w:val="005318DD"/>
    <w:rsid w:val="005419A9"/>
    <w:rsid w:val="005A6B2F"/>
    <w:rsid w:val="005E14B6"/>
    <w:rsid w:val="00655CC0"/>
    <w:rsid w:val="00663BDC"/>
    <w:rsid w:val="00677B10"/>
    <w:rsid w:val="006850A3"/>
    <w:rsid w:val="006D1BB4"/>
    <w:rsid w:val="0072631C"/>
    <w:rsid w:val="00782E58"/>
    <w:rsid w:val="00794250"/>
    <w:rsid w:val="007A5081"/>
    <w:rsid w:val="007B3998"/>
    <w:rsid w:val="007D01B1"/>
    <w:rsid w:val="008508E2"/>
    <w:rsid w:val="008764BC"/>
    <w:rsid w:val="00882C7A"/>
    <w:rsid w:val="008B7450"/>
    <w:rsid w:val="008E2009"/>
    <w:rsid w:val="009061B1"/>
    <w:rsid w:val="00976A3C"/>
    <w:rsid w:val="009B44AC"/>
    <w:rsid w:val="009C1B35"/>
    <w:rsid w:val="009C25C2"/>
    <w:rsid w:val="00A057D5"/>
    <w:rsid w:val="00A20166"/>
    <w:rsid w:val="00A21F89"/>
    <w:rsid w:val="00A470DF"/>
    <w:rsid w:val="00A70ECF"/>
    <w:rsid w:val="00AD0E6D"/>
    <w:rsid w:val="00AF556E"/>
    <w:rsid w:val="00B5323E"/>
    <w:rsid w:val="00B77ADC"/>
    <w:rsid w:val="00C514E9"/>
    <w:rsid w:val="00C6719B"/>
    <w:rsid w:val="00CC1901"/>
    <w:rsid w:val="00D03115"/>
    <w:rsid w:val="00D51348"/>
    <w:rsid w:val="00D65CB3"/>
    <w:rsid w:val="00E15AE9"/>
    <w:rsid w:val="00E20AE7"/>
    <w:rsid w:val="00E22CAC"/>
    <w:rsid w:val="00E33037"/>
    <w:rsid w:val="00E363BF"/>
    <w:rsid w:val="00E85549"/>
    <w:rsid w:val="00EC7168"/>
    <w:rsid w:val="00F36C24"/>
    <w:rsid w:val="00F9534C"/>
    <w:rsid w:val="25E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CE0D"/>
  <w15:docId w15:val="{7B020720-2F37-4E5B-A89D-D701D731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6" w:lineRule="auto"/>
      <w:ind w:left="117" w:firstLine="703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pacing w:after="0" w:line="24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character" w:customStyle="1" w:styleId="a4">
    <w:name w:val="Текст примечания Знак"/>
    <w:basedOn w:val="a0"/>
    <w:link w:val="a3"/>
    <w:qFormat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2">
    <w:name w:val="Основной текст (2)_"/>
    <w:link w:val="20"/>
    <w:qFormat/>
    <w:rPr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74" w:lineRule="exact"/>
      <w:ind w:left="0" w:firstLine="0"/>
    </w:pPr>
    <w:rPr>
      <w:rFonts w:asciiTheme="minorHAnsi" w:eastAsiaTheme="minorEastAsia" w:hAnsiTheme="minorHAnsi" w:cstheme="minorBidi"/>
      <w:color w:val="auto"/>
    </w:rPr>
  </w:style>
  <w:style w:type="paragraph" w:customStyle="1" w:styleId="normal1">
    <w:name w:val="normal1"/>
    <w:basedOn w:val="a"/>
    <w:qFormat/>
    <w:pPr>
      <w:widowControl w:val="0"/>
      <w:suppressAutoHyphens/>
      <w:autoSpaceDE w:val="0"/>
      <w:spacing w:after="0" w:line="288" w:lineRule="auto"/>
      <w:ind w:left="0" w:firstLine="0"/>
    </w:pPr>
    <w:rPr>
      <w:rFonts w:ascii="Myriad Pro" w:hAnsi="Myriad Pro" w:cs="Myriad Pro"/>
      <w:kern w:val="0"/>
      <w:lang w:eastAsia="ar-SA"/>
      <w14:ligatures w14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950BA"/>
    <w:rPr>
      <w:sz w:val="16"/>
      <w:szCs w:val="16"/>
    </w:rPr>
  </w:style>
  <w:style w:type="paragraph" w:styleId="a7">
    <w:name w:val="annotation subject"/>
    <w:basedOn w:val="a3"/>
    <w:next w:val="a3"/>
    <w:link w:val="a8"/>
    <w:uiPriority w:val="99"/>
    <w:semiHidden/>
    <w:unhideWhenUsed/>
    <w:rsid w:val="003950BA"/>
    <w:pPr>
      <w:spacing w:after="4"/>
      <w:ind w:left="117" w:firstLine="703"/>
      <w:jc w:val="both"/>
    </w:pPr>
    <w:rPr>
      <w:b/>
      <w:bCs/>
      <w:color w:val="000000"/>
      <w:kern w:val="2"/>
      <w14:ligatures w14:val="standardContextual"/>
    </w:rPr>
  </w:style>
  <w:style w:type="character" w:customStyle="1" w:styleId="a8">
    <w:name w:val="Тема примечания Знак"/>
    <w:basedOn w:val="a4"/>
    <w:link w:val="a7"/>
    <w:uiPriority w:val="99"/>
    <w:semiHidden/>
    <w:rsid w:val="003950BA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Дмитрий Владимирович</dc:creator>
  <cp:lastModifiedBy>Беляков Дмитрий Владимирович</cp:lastModifiedBy>
  <cp:revision>8</cp:revision>
  <dcterms:created xsi:type="dcterms:W3CDTF">2026-03-05T10:17:00Z</dcterms:created>
  <dcterms:modified xsi:type="dcterms:W3CDTF">2026-05-26T09:33:00Z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00202515C256401BA85B2B7BCEBD3995_12</vt:lpwstr>
  </property>
</Properties>
</file>