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4765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Мясокостная мука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 - натуральная белково-минеральная добавка, применяемая в кормлении сельскохозяйственных животных и птицы. Введение мясокостной муки в рацион практикуется за счёт высокого содержания ценных витаминов и минеральных веществ, необходимых для роста, развития и продуктивности.</w:t>
      </w:r>
    </w:p>
    <w:p w14:paraId="38B83377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Продукт отличается богатым минеральным составом (примерные показатели): кальций - около 14%, фосфор - до 7%, калий - около 1,5%, магний - 0,18%, сера - 0,25%. Такое соотношение элементов положительно влияет на формирование костной ткани, обмен веществ и работу сердечно-сосудистой системы.</w:t>
      </w:r>
    </w:p>
    <w:p w14:paraId="58BF15AD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Среди витаминов лидирует витамин B4 - до 2000 мг на 1 кг продукта. Также в составе присутствуют витамины группы B (B5, B12, B2, B3, B1) и витамин E. Каротин и витамин D в составе не обнаружены.</w:t>
      </w:r>
    </w:p>
    <w:p w14:paraId="2FE39DCC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Мясокостная мука подходит для кормления крупного и мелкого рогатого скота, свиней, лошадей, а также птицы всех видов. Использование добавки позволяет сократить затраты на корм без потери качества и добиться стабильных результатов в хозяйстве.</w:t>
      </w:r>
    </w:p>
    <w:p w14:paraId="3124170D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ПРЕИМУЩЕСТВА</w:t>
      </w:r>
    </w:p>
    <w:p w14:paraId="6E13D03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Ускоряет рост и развитие молодняка</w:t>
      </w:r>
    </w:p>
    <w:p w14:paraId="0385E585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Повышает суточные удои у КРС и МРС</w:t>
      </w:r>
    </w:p>
    <w:p w14:paraId="0DE5BACF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Увеличивает жирность молока</w:t>
      </w:r>
    </w:p>
    <w:p w14:paraId="1B6B813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Улучшает качество мясной продукции</w:t>
      </w:r>
    </w:p>
    <w:p w14:paraId="41C6321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Способствует увеличению массы тела животных</w:t>
      </w:r>
    </w:p>
    <w:p w14:paraId="7BDBE15D">
      <w:pPr>
        <w:keepNext w:val="0"/>
        <w:keepLines w:val="0"/>
        <w:widowControl/>
        <w:numPr>
          <w:ilvl w:val="0"/>
          <w:numId w:val="1"/>
        </w:numPr>
        <w:suppressLineNumbers w:val="0"/>
        <w:pBdr>
          <w:left w:val="none" w:color="auto" w:sz="0" w:space="0"/>
        </w:pBdr>
        <w:spacing w:before="0" w:beforeAutospacing="1" w:after="120" w:afterAutospacing="0" w:line="360" w:lineRule="atLeast"/>
        <w:ind w:left="720" w:hanging="360"/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Повышает яйценоскость и качество мяса птицы</w:t>
      </w:r>
    </w:p>
    <w:p w14:paraId="64E4D153">
      <w:pPr>
        <w:pStyle w:val="2"/>
        <w:keepNext w:val="0"/>
        <w:keepLines w:val="0"/>
        <w:widowControl/>
        <w:suppressLineNumbers w:val="0"/>
        <w:shd w:val="clear" w:fill="FFFFFF"/>
        <w:spacing w:before="42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СОСТАВ</w:t>
      </w:r>
    </w:p>
    <w:p w14:paraId="5FD4F41E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Продукт переработки мясного и костного сырья животного происхождения. Содержит белок, кальций, фосфор, калий, магний, серу, витамины группы B и витамин E.</w:t>
      </w:r>
    </w:p>
    <w:p w14:paraId="6A26A168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СВОЙСТВА</w:t>
      </w:r>
    </w:p>
    <w:p w14:paraId="5D8F8D1A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Мясокостная мука восполняет дефицит минеральных веществ и витаминов, улучшает обмен веществ, укрепляет костную систему, способствует повышению продуктивности и общего состояния животных.</w:t>
      </w:r>
    </w:p>
    <w:p w14:paraId="7A381E94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СПОСОБ ПРИМЕНЕНИЯ</w:t>
      </w:r>
    </w:p>
    <w:p w14:paraId="0802EA06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Мясокостную муку вводят в рацион только в смеси с основными кормами (сено, зерно, отруби). В чистом виде продукт может поедаться неохотно, поэтому приучение проводят постепенно в течение 5–7 дней, увеличивая дозировку с 10 до 100 г в сутки.</w:t>
      </w:r>
    </w:p>
    <w:p w14:paraId="6AD0EAF2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Рекомендуемые нормы: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— птица: 3–5% от массы корма;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— свиньи и МРС: 5–7%;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— КРС и лошади: 12–15%.</w:t>
      </w:r>
    </w:p>
    <w:p w14:paraId="2BBBCD44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ПРИМЕНЕНИЕ В КАЧЕСТВЕ УДОБРЕНИЯ</w:t>
      </w:r>
    </w:p>
    <w:p w14:paraId="0ECF274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Мясокостная мука может использоваться как органическое удобрение. Попадая в почву, она постепенно высвобождает фосфор и кальций, улучшая структуру грунта и делая его более рыхлым и воздухопроницаемым.</w:t>
      </w:r>
    </w:p>
    <w:p w14:paraId="76F1303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Фосфор способствует развитию корневой системы растений, улучшает цветение и плодоношение. Продукт является экологически безопасной альтернативой химическим удобрениям и значительно повышает урожайность овощных, ягодных культур и плодовых деревьев.</w:t>
      </w:r>
    </w:p>
    <w:p w14:paraId="5552FB48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ОСОБЫЕ УКАЗАНИЯ</w:t>
      </w:r>
    </w:p>
    <w:p w14:paraId="29BFA41F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Использовать строго в рекомендуемых дозировках. Не применять в качестве единственного источника питания. Хранить отдельно от пищевых продуктов.</w:t>
      </w:r>
    </w:p>
    <w:p w14:paraId="4DFDE056">
      <w:pPr>
        <w:pStyle w:val="2"/>
        <w:keepNext w:val="0"/>
        <w:keepLines w:val="0"/>
        <w:widowControl/>
        <w:suppressLineNumbers w:val="0"/>
        <w:shd w:val="clear" w:fill="FFFFFF"/>
        <w:spacing w:before="450" w:beforeAutospacing="0" w:after="450" w:afterAutospacing="0" w:line="300" w:lineRule="atLeast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Style w:val="5"/>
          <w:rFonts w:hint="default" w:ascii="Times New Roman" w:hAnsi="Times New Roman" w:eastAsia="Arial" w:cs="Times New Roman"/>
          <w:b/>
          <w:bCs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СРОК ГОДНОСТИ И ХРАНЕНИЯ</w:t>
      </w:r>
    </w:p>
    <w:p w14:paraId="4C2B642B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0" w:after="360" w:afterAutospacing="0"/>
        <w:ind w:left="0" w:right="0" w:firstLine="0"/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000000" w:themeColor="text1"/>
          <w:spacing w:val="0"/>
          <w:sz w:val="20"/>
          <w:szCs w:val="20"/>
          <w:shd w:val="clear" w:fill="FFFFFF"/>
          <w14:textFill>
            <w14:solidFill>
              <w14:schemeClr w14:val="tx1"/>
            </w14:solidFill>
          </w14:textFill>
        </w:rPr>
        <w:t>Хранить в сухом, прохладном, хорошо проветриваемом помещении, защищённом от влаги и прямых солнечных лучей. Срок годности - 6 месяцев со дня изготовления.</w:t>
      </w:r>
    </w:p>
    <w:p w14:paraId="0A68C4E5">
      <w:pPr>
        <w:rPr>
          <w:rFonts w:hint="default" w:ascii="Times New Roman" w:hAnsi="Times New Roman" w:cs="Times New Roman"/>
          <w:color w:val="000000" w:themeColor="text1"/>
          <w:sz w:val="20"/>
          <w:szCs w:val="20"/>
          <w14:textFill>
            <w14:solidFill>
              <w14:schemeClr w14:val="tx1"/>
            </w14:solidFill>
          </w14:textFill>
        </w:rPr>
      </w:pP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DAD77C"/>
    <w:multiLevelType w:val="multilevel"/>
    <w:tmpl w:val="D5DAD77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91A72"/>
    <w:rsid w:val="13591A72"/>
    <w:rsid w:val="4A7A288A"/>
    <w:rsid w:val="7D754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2026-08-21T08:06:00Z</dcterms:created>
  <dc:creator>nv.larina</dc:creator>
  <cp:lastModifiedBy>nv.larina</cp:lastModifiedBy>
  <dcterms:modified xsi:type="dcterms:W3CDTF">2026-08-21T08:22:21Z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B4939768CD5F415DA16D8DD4802BBFD3_11</vt:lpwstr>
  </property>
</Properties>
</file>