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AE97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center"/>
        <w:rPr>
          <w:rFonts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bookmarkStart w:id="0" w:name="_GoBack"/>
      <w:bookmarkEnd w:id="0"/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ИНСТРУКЦИЯ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br w:type="textWrapping"/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по применению </w:t>
      </w: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мела кормового природного молотого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 для  минеральной подкормки и производства комбикормов для животных и птиц 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br w:type="textWrapping"/>
      </w:r>
    </w:p>
    <w:p w14:paraId="5CC71D6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I. Общие сведения</w:t>
      </w:r>
    </w:p>
    <w:p w14:paraId="15690DC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1. 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Торговое название: Мел кормовой</w:t>
      </w:r>
    </w:p>
    <w:p w14:paraId="37485D82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2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. Внешний вид: порошок или крупка от белого до светло-серого или кремового цвета, без запаха, практически не растворим в воде, без посторонних примесей, видимых невооруженным глазом.</w:t>
      </w:r>
    </w:p>
    <w:p w14:paraId="2EA698B9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3.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 Мел кормовой состоит в основном из карбоната кальция (до 97,5 %) и получается путем помола природного мела.</w:t>
      </w:r>
    </w:p>
    <w:p w14:paraId="50A4D5E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4.  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Мел кормовой  выпускают расфасованным по 0,005 кг: 0,010 кг; 0,1 кг; 0,2 кг; 0,3 кг и 0,5 кг в пакеты из ламинированной бумаги или полимерных водонепроницаемых материалов или в банки полимерные; по 1,0 кг; 2,0 кг и 5,0 кг в пакеты с внутренним полимерным покры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softHyphen/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тием или в банки полимерные; по 1,0 кг; 2,0 кг и 5,0 кг пакеты из полиэтилена или полимерных комбинированных водонепроницаемых материалов; в полипропиленовые мешки массой нетто до 40 кг.</w:t>
      </w:r>
    </w:p>
    <w:p w14:paraId="07DFB6D3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5.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 Каждую единицу потребительской упаковки снабжают инструкцией по применению. 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br w:type="textWrapping"/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Срок годности мела кормового - 1 год  с даты выпуска при соблюдении условий хранения и транспортирования. По истечении срока годности мел кормовой к применению не пригоден.</w:t>
      </w:r>
    </w:p>
    <w:p w14:paraId="5A2FAAED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6.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 Мел кормовой  хранят и транспортируют в упаковке производителя в сухом месте.</w:t>
      </w:r>
    </w:p>
    <w:p w14:paraId="6913A967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7.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  Банки, пакеты, мешки с мелом кормовым без этикеток, с истекшим сроком годности, с нару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softHyphen/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шением целостности и/или герметичности упаковки, содержащие посторонние примеси, с измененным цветом, подлежат выбраковке с пос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softHyphen/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ледующей утилизацией с бытовыми отходами.</w:t>
      </w:r>
    </w:p>
    <w:p w14:paraId="0DCBCB8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II. Фармакологические свойства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br w:type="textWrapping"/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Мел кормовой является одним из основных источников кальция в кормовом рационе животных и птицы. На долю кальция приходится наибольший процент от содержания всех минеральных веществ в организме.  Кальций стимулирует функцию сердечно-сосудистой системы, является одним из факторов свертывания крови, обеспечивает постоянство осмотического давления. Он участвует в проведении нервного импульса, в инициации мышечного сокращения за счет образования актино-миозинового комплекса, активирует вместе с инсулином проникновение глюкозы в клетки. Кальций формирует костную ткань, поддерживает мышечный тонус, предупреждает преждевременное развитие остеопороза и остеомаляции, способствует правильному формированию опорно-двигательной системы, что особенно актуально для молодняка животных и птиц. Кальций входит в состав различных ферментных систем, катализирующих биохимические реакции в организме, кроме того, он повышает неспецифическую резистентность животного. Ионы кальция участвуют в передаче нервных импульсов, в сокращении скелетной и гладкой мускулатуры. Межклеточное костное вещество богато солями кальция, вместе с белками (главным образом коллагеном — оссеином) кальций обеспечивает твердость и эластичность кости. Кальций благотворно влияет на обмен железа в организме животных и птицы, выводит токсины.</w:t>
      </w:r>
    </w:p>
    <w:p w14:paraId="39F2553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При использовании мела кормового в качестве источника кальция у продуктивных животных увеличивается среднесуточный привес мышечной массы, улучшается качество и выход мясной продукции, молокоотдача, у птиц повышается яйценоскость, а также сохранность яиц и диетические свойства готового продукта. Нормы потребления мела строго ориентированы на потребность организма животных и птицы в кальции в зависимости от физиологического состояния организма, наличия патологических процессов, а также возраста. При пероральном применении минеральные компоненты добавки быстро всасываются и выводятся из организма преимущественно с мочой. При скармливании мела кормового следует учитывать соотношение между поступающим в организм кальцием и фосфором, которое в нормированных рационах должно составлять  (1,2—2) : 1.</w:t>
      </w:r>
    </w:p>
    <w:p w14:paraId="21AF25B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III. Порядок применения и нормы ввода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br w:type="textWrapping"/>
      </w: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8.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 Мел кормовой применяют сельскохозяйственным, домашним животным и птице в качестве источника кальция индивидуально или групповым методом кормом, премиксами, минерально-витаминными добавками и другими кормовыми смесями в соответствии с приведенными в таблице суточными нормами расхода:</w:t>
      </w:r>
    </w:p>
    <w:tbl>
      <w:tblPr>
        <w:tblStyle w:val="3"/>
        <w:tblW w:w="8303" w:type="dxa"/>
        <w:jc w:val="center"/>
        <w:tblCellSpacing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5"/>
        <w:gridCol w:w="1588"/>
        <w:gridCol w:w="1588"/>
        <w:gridCol w:w="1575"/>
        <w:gridCol w:w="1427"/>
      </w:tblGrid>
      <w:tr w14:paraId="3163BF1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03" w:type="dxa"/>
            <w:gridSpan w:val="5"/>
            <w:shd w:val="clear" w:color="auto" w:fill="auto"/>
            <w:vAlign w:val="center"/>
          </w:tcPr>
          <w:p w14:paraId="4B8C492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rStyle w:val="4"/>
                <w:sz w:val="19"/>
                <w:szCs w:val="19"/>
              </w:rPr>
              <w:t>Цыплята, куры-несушки (на 10 голов)</w:t>
            </w:r>
          </w:p>
        </w:tc>
      </w:tr>
      <w:tr w14:paraId="582F9EE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578370D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Возраст, недели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21E1F7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1 – 17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AF7109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17 – 25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79B1D0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25 – 50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0A53EC3D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старше 50</w:t>
            </w:r>
          </w:p>
        </w:tc>
      </w:tr>
      <w:tr w14:paraId="6CEBB9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2B1F19E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Норма расхода, г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C8FBF4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ACE302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E458C1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80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4E01685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90 – 100</w:t>
            </w:r>
          </w:p>
        </w:tc>
      </w:tr>
      <w:tr w14:paraId="5187F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03" w:type="dxa"/>
            <w:gridSpan w:val="5"/>
            <w:shd w:val="clear" w:color="auto" w:fill="auto"/>
            <w:vAlign w:val="center"/>
          </w:tcPr>
          <w:p w14:paraId="46A8C01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rStyle w:val="4"/>
                <w:sz w:val="19"/>
                <w:szCs w:val="19"/>
              </w:rPr>
              <w:t>Суточные нормы расхода для птицы, на 10 голов, г</w:t>
            </w:r>
          </w:p>
        </w:tc>
      </w:tr>
      <w:tr w14:paraId="701BCD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34F04A2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 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5FD0E655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Молодняк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1AF04BC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Взрослые</w:t>
            </w:r>
          </w:p>
        </w:tc>
      </w:tr>
      <w:tr w14:paraId="396298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3535FF2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Перепела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1413A3F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25 – 30 (до 6 недель)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08A649B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60 – 70</w:t>
            </w:r>
          </w:p>
        </w:tc>
      </w:tr>
      <w:tr w14:paraId="4B4DEDA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2BE8FAA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Утки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2809844B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30 – 35 (до 6 месяцев)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3A7F63E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65 – 75</w:t>
            </w:r>
          </w:p>
        </w:tc>
      </w:tr>
      <w:tr w14:paraId="2CC8A62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41B1DDE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Гуси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4BC62A36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30 – 35 (до 6 месяцев)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70D87BD9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45 – 50</w:t>
            </w:r>
          </w:p>
        </w:tc>
      </w:tr>
      <w:tr w14:paraId="713242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6F0A658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Индейки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2F3BCFA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40 – 45 (до 4 месяцев)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6944A97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60 – 70</w:t>
            </w:r>
          </w:p>
        </w:tc>
      </w:tr>
      <w:tr w14:paraId="0E5BB8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13FF7A6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Цесарки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693D585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25 – 30 (до 4 месяцев)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72DE6EA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60 – 70</w:t>
            </w:r>
          </w:p>
        </w:tc>
      </w:tr>
      <w:tr w14:paraId="1A0AD96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8303" w:type="dxa"/>
            <w:gridSpan w:val="5"/>
            <w:shd w:val="clear" w:color="auto" w:fill="auto"/>
            <w:vAlign w:val="center"/>
          </w:tcPr>
          <w:p w14:paraId="62F11DD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rStyle w:val="4"/>
                <w:sz w:val="19"/>
                <w:szCs w:val="19"/>
              </w:rPr>
              <w:t>Суточные нормы расхода для сельскохозяйственных животных, на 1 голову, г</w:t>
            </w:r>
          </w:p>
        </w:tc>
      </w:tr>
      <w:tr w14:paraId="6C6F44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1210A1E2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Крупный рогатый скот (коровы)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0325019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15 – 50 (до 1 года)</w:t>
            </w:r>
            <w:r>
              <w:rPr>
                <w:sz w:val="19"/>
                <w:szCs w:val="19"/>
              </w:rPr>
              <w:br w:type="textWrapping"/>
            </w:r>
            <w:r>
              <w:rPr>
                <w:sz w:val="19"/>
                <w:szCs w:val="19"/>
              </w:rPr>
              <w:t>50 – 100 (до 1,5 лет)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32573A7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80 – 250</w:t>
            </w:r>
          </w:p>
        </w:tc>
      </w:tr>
      <w:tr w14:paraId="4E8002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45059A7F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Лошади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2B6ABC04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10 – 30 (до 2 лет)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416ADF53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40 – 75</w:t>
            </w:r>
          </w:p>
        </w:tc>
      </w:tr>
      <w:tr w14:paraId="0B72284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62251768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Мелкий рогатый скот (овцы, козы)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0B55AA4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3 – 7 (до 1 года)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3823A7D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10 – 15</w:t>
            </w:r>
          </w:p>
        </w:tc>
      </w:tr>
      <w:tr w14:paraId="5883B9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60C2320C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Свиньи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0FBA8397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10 – 40 (до 6 месяцев)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7712915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50 – 70</w:t>
            </w:r>
          </w:p>
        </w:tc>
      </w:tr>
      <w:tr w14:paraId="150702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2125" w:type="dxa"/>
            <w:shd w:val="clear" w:color="auto" w:fill="auto"/>
            <w:vAlign w:val="center"/>
          </w:tcPr>
          <w:p w14:paraId="772DB16E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Пушные звери</w:t>
            </w:r>
          </w:p>
        </w:tc>
        <w:tc>
          <w:tcPr>
            <w:tcW w:w="3176" w:type="dxa"/>
            <w:gridSpan w:val="2"/>
            <w:shd w:val="clear" w:color="auto" w:fill="auto"/>
            <w:vAlign w:val="center"/>
          </w:tcPr>
          <w:p w14:paraId="3A6F9221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15 – 20 (до 6 недель)</w:t>
            </w:r>
          </w:p>
        </w:tc>
        <w:tc>
          <w:tcPr>
            <w:tcW w:w="3002" w:type="dxa"/>
            <w:gridSpan w:val="2"/>
            <w:shd w:val="clear" w:color="auto" w:fill="auto"/>
            <w:vAlign w:val="center"/>
          </w:tcPr>
          <w:p w14:paraId="441BC65A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tLeast"/>
              <w:ind w:left="0" w:right="0"/>
              <w:jc w:val="both"/>
            </w:pPr>
            <w:r>
              <w:rPr>
                <w:sz w:val="19"/>
                <w:szCs w:val="19"/>
              </w:rPr>
              <w:t>40 – 50</w:t>
            </w:r>
          </w:p>
        </w:tc>
      </w:tr>
    </w:tbl>
    <w:p w14:paraId="6FA373E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80" w:beforeAutospacing="0" w:after="180" w:afterAutospacing="0"/>
        <w:ind w:left="0" w:right="0"/>
        <w:jc w:val="both"/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9. 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При применении мела кормового в соответствии с настоящей инструкцией побочных явлений и осложнений не отмечается. </w:t>
      </w:r>
    </w:p>
    <w:p w14:paraId="02593CF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10. 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Противопоказания: повышенная индивидуальная чувствительность к компонентам кормовой добавки.</w:t>
      </w:r>
    </w:p>
    <w:p w14:paraId="4241A08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IV. Меры личной профилактики</w:t>
      </w:r>
    </w:p>
    <w:p w14:paraId="4A6CCCB5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11. 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Особые указания: при случайном попадании на кожу или слизистые оболочки глаз рекомендуется тотчас промыть их большим количеством воды, при заглатывании мела кормового в больших количествах внутрь животному необходимо дать несколько литров воды. По окончании манипуляций руки рекомендуется тщательно промыть водой с мылом. Продукцию от животных (продукты убоя, яйцо), которые получали мел, реализуют без ограничений.</w:t>
      </w:r>
    </w:p>
    <w:p w14:paraId="34480F50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95" w:beforeAutospacing="0" w:after="195" w:afterAutospacing="0"/>
        <w:ind w:left="0" w:right="0" w:firstLine="0"/>
        <w:jc w:val="both"/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</w:pPr>
      <w:r>
        <w:rPr>
          <w:rStyle w:val="4"/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 xml:space="preserve">12.  </w:t>
      </w:r>
      <w:r>
        <w:rPr>
          <w:rFonts w:hint="default" w:ascii="Arial" w:hAnsi="Arial" w:cs="Arial"/>
          <w:i w:val="0"/>
          <w:caps w:val="0"/>
          <w:color w:val="000000"/>
          <w:spacing w:val="0"/>
          <w:sz w:val="19"/>
          <w:szCs w:val="19"/>
          <w:u w:val="none"/>
        </w:rPr>
        <w:t>Мел кормовой следует хранить в местах, недоступных для детей и животных.</w:t>
      </w:r>
    </w:p>
    <w:p w14:paraId="7DC45E85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42014"/>
    <w:rsid w:val="2E963DE8"/>
    <w:rsid w:val="410D5F23"/>
    <w:rsid w:val="42C420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356</TotalTime>
  <ScaleCrop>false</ScaleCrop>
  <LinksUpToDate>false</LinksUpToDate>
  <CharactersWithSpaces>0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2018-07-16T08:08:00Z</dcterms:created>
  <dc:creator>t.bolshakova</dc:creator>
  <cp:lastModifiedBy>novikova</cp:lastModifiedBy>
  <dcterms:modified xsi:type="dcterms:W3CDTF">2026-02-24T06:19:13Z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1049-12.2.0.23197</vt:lpwstr>
  </property>
  <property fmtid="{D5CDD505-2E9C-101B-9397-08002B2CF9AE}" pid="3" name="ICV">
    <vt:lpwstr>641DD7A028F94E80ABAFE0C457AAEC52_13</vt:lpwstr>
  </property>
</Properties>
</file>