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1"/>
        <w:keepNext/>
        <w:keepLines/>
      </w:pPr>
      <w:bookmarkStart w:id="53" w:name="_GoBack"/>
      <w:bookmarkEnd w:id="53"/>
      <w:r>
        <w:rPr>
          <w:lang w:bidi="ar-SA"/>
        </w:rPr>
        <mc:AlternateContent>
          <mc:Choice Requires="wps">
            <w:drawing>
              <wp:anchor distT="0" distB="0" distL="114300" distR="114300" simplePos="0" relativeHeight="125830144" behindDoc="0" locked="0" layoutInCell="1" allowOverlap="1">
                <wp:simplePos x="0" y="0"/>
                <wp:positionH relativeFrom="page">
                  <wp:posOffset>805180</wp:posOffset>
                </wp:positionH>
                <wp:positionV relativeFrom="paragraph">
                  <wp:posOffset>152400</wp:posOffset>
                </wp:positionV>
                <wp:extent cx="883920" cy="487680"/>
                <wp:effectExtent l="0" t="0" r="0" b="0"/>
                <wp:wrapSquare wrapText="righ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3920" cy="4876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5"/>
                              <w:pBdr>
                                <w:top w:val="single" w:color="01AC4E" w:sz="0" w:space="0"/>
                                <w:left w:val="single" w:color="01AC4E" w:sz="0" w:space="0"/>
                                <w:bottom w:val="single" w:color="01AC4E" w:sz="0" w:space="0"/>
                                <w:right w:val="single" w:color="01AC4E" w:sz="0" w:space="0"/>
                              </w:pBdr>
                              <w:shd w:val="clear" w:color="auto" w:fill="01AC4E"/>
                              <w:tabs>
                                <w:tab w:val="left" w:leader="underscore" w:pos="1224"/>
                              </w:tabs>
                            </w:pPr>
                            <w:r>
                              <w:rPr>
                                <w:color w:val="FFFFFF"/>
                                <w:sz w:val="28"/>
                                <w:szCs w:val="28"/>
                                <w:u w:val="single"/>
                              </w:rPr>
                              <w:t>Pchelodar</w:t>
                            </w:r>
                            <w:r>
                              <w:rPr>
                                <w:color w:val="FFFFFF"/>
                                <w:sz w:val="28"/>
                                <w:szCs w:val="28"/>
                                <w:vertAlign w:val="superscript"/>
                              </w:rPr>
                              <w:t>8</w:t>
                            </w:r>
                            <w:r>
                              <w:rPr>
                                <w:color w:val="FFFFFF"/>
                                <w:sz w:val="28"/>
                                <w:szCs w:val="28"/>
                                <w:vertAlign w:val="superscript"/>
                              </w:rPr>
                              <w:br w:type="textWrapping"/>
                            </w:r>
                            <w:r>
                              <w:rPr>
                                <w:color w:val="FFFFFF"/>
                              </w:rPr>
                              <w:t>professional</w:t>
                            </w:r>
                            <w:r>
                              <w:rPr>
                                <w:color w:val="FFFFFF"/>
                              </w:rPr>
                              <w:br w:type="textWrapping"/>
                            </w:r>
                            <w:r>
                              <w:rPr>
                                <w:color w:val="FFFFFF"/>
                              </w:rPr>
                              <w:tab/>
                            </w:r>
                            <w:r>
                              <w:rPr>
                                <w:color w:val="FFFFFF"/>
                              </w:rPr>
                              <w:t>J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" o:spid="_x0000_s1026" o:spt="202" type="#_x0000_t202" style="position:absolute;left:0pt;margin-left:63.4pt;margin-top:12pt;height:38.4pt;width:69.6pt;mso-position-horizontal-relative:page;mso-wrap-distance-bottom:0pt;mso-wrap-distance-left:9pt;mso-wrap-distance-right:9pt;mso-wrap-distance-top:0pt;z-index:125830144;mso-width-relative:page;mso-height-relative:page;" filled="f" stroked="f" coordsize="21600,21600" o:gfxdata="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5"/>
                        <w:pBdr>
                          <w:top w:val="single" w:color="01AC4E" w:sz="0" w:space="0"/>
                          <w:left w:val="single" w:color="01AC4E" w:sz="0" w:space="0"/>
                          <w:bottom w:val="single" w:color="01AC4E" w:sz="0" w:space="0"/>
                          <w:right w:val="single" w:color="01AC4E" w:sz="0" w:space="0"/>
                        </w:pBdr>
                        <w:shd w:val="clear" w:color="auto" w:fill="01AC4E"/>
                        <w:tabs>
                          <w:tab w:val="left" w:leader="underscore" w:pos="1224"/>
                        </w:tabs>
                      </w:pPr>
                      <w:r>
                        <w:rPr>
                          <w:color w:val="FFFFFF"/>
                          <w:sz w:val="28"/>
                          <w:szCs w:val="28"/>
                          <w:u w:val="single"/>
                        </w:rPr>
                        <w:t>Pchelodar</w:t>
                      </w:r>
                      <w:r>
                        <w:rPr>
                          <w:color w:val="FFFFFF"/>
                          <w:sz w:val="28"/>
                          <w:szCs w:val="28"/>
                          <w:vertAlign w:val="superscript"/>
                        </w:rPr>
                        <w:t>8</w:t>
                      </w:r>
                      <w:r>
                        <w:rPr>
                          <w:color w:val="FFFFFF"/>
                          <w:sz w:val="28"/>
                          <w:szCs w:val="28"/>
                          <w:vertAlign w:val="superscript"/>
                        </w:rPr>
                        <w:br w:type="textWrapping"/>
                      </w:r>
                      <w:r>
                        <w:rPr>
                          <w:color w:val="FFFFFF"/>
                        </w:rPr>
                        <w:t>professional</w:t>
                      </w:r>
                      <w:r>
                        <w:rPr>
                          <w:color w:val="FFFFFF"/>
                        </w:rPr>
                        <w:br w:type="textWrapping"/>
                      </w:r>
                      <w:r>
                        <w:rPr>
                          <w:color w:val="FFFFFF"/>
                        </w:rPr>
                        <w:tab/>
                      </w:r>
                      <w:r>
                        <w:rPr>
                          <w:color w:val="FFFFFF"/>
                        </w:rPr>
                        <w:t>J</w:t>
                      </w:r>
                    </w:p>
                  </w:txbxContent>
                </v:textbox>
                <w10:wrap type="square" side="right"/>
              </v:shape>
            </w:pict>
          </mc:Fallback>
        </mc:AlternateContent>
      </w:r>
      <w:bookmarkStart w:id="0" w:name="bookmark2"/>
      <w:bookmarkStart w:id="1" w:name="bookmark1"/>
      <w:bookmarkStart w:id="2" w:name="bookmark0"/>
      <w:r>
        <w:t>ФУНГИВЕТ таблетки</w:t>
      </w:r>
      <w:bookmarkEnd w:id="0"/>
      <w:bookmarkEnd w:id="1"/>
      <w:bookmarkEnd w:id="2"/>
    </w:p>
    <w:p>
      <w:pPr>
        <w:pStyle w:val="13"/>
        <w:keepNext/>
        <w:keepLines/>
        <w:ind w:left="1640"/>
      </w:pPr>
      <w:bookmarkStart w:id="3" w:name="bookmark3"/>
      <w:bookmarkStart w:id="4" w:name="bookmark5"/>
      <w:bookmarkStart w:id="5" w:name="bookmark4"/>
      <w:r>
        <w:t>Инструкция</w:t>
      </w:r>
      <w:bookmarkEnd w:id="3"/>
      <w:bookmarkEnd w:id="4"/>
      <w:bookmarkEnd w:id="5"/>
    </w:p>
    <w:p>
      <w:pPr>
        <w:pStyle w:val="15"/>
        <w:jc w:val="center"/>
      </w:pPr>
      <w:r>
        <w:t>по применению препарата фунгивет таблетки</w:t>
      </w:r>
      <w:r>
        <w:br w:type="textWrapping"/>
      </w:r>
      <w:r>
        <w:t>для лечения грибковых заболеваний кожи, волос, когтей и</w:t>
      </w:r>
      <w:r>
        <w:br w:type="textWrapping"/>
      </w:r>
      <w:r>
        <w:t>слизистых оболочек у собак и кошек.</w:t>
      </w:r>
    </w:p>
    <w:p>
      <w:pPr>
        <w:pStyle w:val="15"/>
        <w:spacing w:after="500"/>
        <w:jc w:val="center"/>
      </w:pPr>
      <w:r>
        <w:t>(Организация-разработчик АО «Агробиопром», г. Москва)</w:t>
      </w:r>
      <w:r>
        <w:br w:type="textWrapping"/>
      </w:r>
      <w:r>
        <w:t>Для ветеринарного применения.</w:t>
      </w:r>
    </w:p>
    <w:p>
      <w:pPr>
        <w:pStyle w:val="13"/>
        <w:keepNext/>
        <w:keepLines/>
        <w:spacing w:after="160"/>
        <w:jc w:val="center"/>
      </w:pPr>
      <w:bookmarkStart w:id="6" w:name="bookmark7"/>
      <w:bookmarkStart w:id="7" w:name="bookmark8"/>
      <w:bookmarkStart w:id="8" w:name="bookmark6"/>
      <w:r>
        <w:t>Общие сведения</w:t>
      </w:r>
      <w:bookmarkEnd w:id="6"/>
      <w:bookmarkEnd w:id="7"/>
      <w:bookmarkEnd w:id="8"/>
    </w:p>
    <w:p>
      <w:pPr>
        <w:pStyle w:val="13"/>
        <w:keepNext/>
        <w:keepLines/>
      </w:pPr>
      <w:bookmarkStart w:id="9" w:name="bookmark11"/>
      <w:r>
        <w:t>Регистрационный номер: РК-ВП-4-3901-19</w:t>
      </w:r>
      <w:bookmarkEnd w:id="9"/>
    </w:p>
    <w:p>
      <w:pPr>
        <w:pStyle w:val="13"/>
        <w:keepNext/>
        <w:keepLines/>
        <w:rPr>
          <w:sz w:val="12"/>
          <w:szCs w:val="12"/>
        </w:rPr>
      </w:pPr>
      <w:bookmarkStart w:id="10" w:name="bookmark12"/>
      <w:r>
        <w:t xml:space="preserve">Международное непатентованное наименование: </w:t>
      </w:r>
      <w:r>
        <w:rPr>
          <w:rFonts w:ascii="Arial" w:hAnsi="Arial" w:eastAsia="Arial" w:cs="Arial"/>
          <w:b w:val="0"/>
          <w:bCs w:val="0"/>
          <w:sz w:val="12"/>
          <w:szCs w:val="12"/>
        </w:rPr>
        <w:t>тербинафин.</w:t>
      </w:r>
      <w:bookmarkEnd w:id="10"/>
    </w:p>
    <w:p>
      <w:pPr>
        <w:pStyle w:val="13"/>
        <w:keepNext/>
        <w:keepLines/>
      </w:pPr>
      <w:bookmarkStart w:id="11" w:name="bookmark13"/>
      <w:bookmarkStart w:id="12" w:name="bookmark9"/>
      <w:bookmarkStart w:id="13" w:name="bookmark10"/>
      <w:r>
        <w:t>Состав и форма выпуска:</w:t>
      </w:r>
      <w:bookmarkEnd w:id="11"/>
      <w:bookmarkEnd w:id="12"/>
      <w:bookmarkEnd w:id="13"/>
    </w:p>
    <w:p>
      <w:pPr>
        <w:pStyle w:val="15"/>
        <w:jc w:val="both"/>
      </w:pPr>
      <w:r>
        <w:t>Препарат Фунгивет таблетки в качестве действующих веществ в 1 таблетке содержит: тербинафина гидрохлорид - 200 мг, в качестве вспомогательных компонентов: лактоза, стеарат кальция, кукуруз</w:t>
      </w:r>
      <w:r>
        <w:softHyphen/>
      </w:r>
      <w:r>
        <w:t>ный крахмал. По внешнему виду представляет собой таблетки от белого до светло-коричневого цвета округлой формы. Препарат выпускают расфасованным по 10, 20 и 30 таблеток в контурные блистеры, упакованные в картонные пачки в комплекте с инструкцией по применению.</w:t>
      </w:r>
    </w:p>
    <w:p>
      <w:pPr>
        <w:pStyle w:val="13"/>
        <w:keepNext/>
        <w:keepLines/>
        <w:jc w:val="both"/>
      </w:pPr>
      <w:bookmarkStart w:id="14" w:name="bookmark15"/>
      <w:bookmarkStart w:id="15" w:name="bookmark16"/>
      <w:bookmarkStart w:id="16" w:name="bookmark14"/>
      <w:r>
        <w:t>Лекарственная форма</w:t>
      </w:r>
      <w:bookmarkEnd w:id="14"/>
      <w:bookmarkEnd w:id="15"/>
      <w:bookmarkEnd w:id="16"/>
    </w:p>
    <w:p>
      <w:pPr>
        <w:pStyle w:val="15"/>
        <w:jc w:val="both"/>
      </w:pPr>
      <w:r>
        <w:t>Таблетки для приема внутрь.</w:t>
      </w:r>
    </w:p>
    <w:p>
      <w:pPr>
        <w:pStyle w:val="13"/>
        <w:keepNext/>
        <w:keepLines/>
      </w:pPr>
      <w:bookmarkStart w:id="17" w:name="bookmark17"/>
      <w:bookmarkStart w:id="18" w:name="bookmark18"/>
      <w:bookmarkStart w:id="19" w:name="bookmark19"/>
      <w:r>
        <w:t>Фармакологическая группа</w:t>
      </w:r>
      <w:bookmarkEnd w:id="17"/>
      <w:bookmarkEnd w:id="18"/>
      <w:bookmarkEnd w:id="19"/>
    </w:p>
    <w:p>
      <w:pPr>
        <w:pStyle w:val="15"/>
      </w:pPr>
      <w:r>
        <w:t>Противогрибковый препарат.</w:t>
      </w:r>
    </w:p>
    <w:p>
      <w:pPr>
        <w:pStyle w:val="13"/>
        <w:keepNext/>
        <w:keepLines/>
        <w:jc w:val="center"/>
      </w:pPr>
      <w:bookmarkStart w:id="20" w:name="bookmark21"/>
      <w:bookmarkStart w:id="21" w:name="bookmark22"/>
      <w:bookmarkStart w:id="22" w:name="bookmark20"/>
      <w:r>
        <w:t>фармакологические свойства</w:t>
      </w:r>
      <w:bookmarkEnd w:id="20"/>
      <w:bookmarkEnd w:id="21"/>
      <w:bookmarkEnd w:id="22"/>
    </w:p>
    <w:p>
      <w:pPr>
        <w:pStyle w:val="15"/>
        <w:jc w:val="both"/>
      </w:pPr>
      <w:r>
        <w:t>Препарат фунгиветтаблетки оказывает широкий спектр противогрибкового действия на кожно-во- лосянной покров и слизистые оболочки животных (собак и кошек).</w:t>
      </w:r>
    </w:p>
    <w:p>
      <w:pPr>
        <w:pStyle w:val="15"/>
        <w:jc w:val="both"/>
      </w:pPr>
      <w:r>
        <w:t>Тербинафина гидрохлорид относится к группе аллиламинов, имеет широкий спектр противогрибко</w:t>
      </w:r>
      <w:r>
        <w:softHyphen/>
      </w:r>
      <w:r>
        <w:t>вого действия. В низких концентрациях обладает фунгицидной активностью в отношении дермато</w:t>
      </w:r>
      <w:r>
        <w:softHyphen/>
      </w:r>
      <w:r>
        <w:t>фитов Trichophyton (в т.ч. Trichophyton rubrum, Trichophyton mentagrophytes, Trichophyton tonsurans, Trichophyton verrucosum, Trichophyton violaceum), а также Microsporum canis и Epidermophyton floccosum; дрожжеподобных грибов рода Candida (в основном Candida albicans); возбудителя разноцветного лишая (Malassezia furfur). Механизм действия заключается в подавлении скваленэ- поксидазы в клеточной мембране гриба. Это приводит к дефициту эргостерола и внутриклеточному накоплению сквалена, что вызывает гибель клетки возбудителя. Активность в отношении дрожже</w:t>
      </w:r>
      <w:r>
        <w:softHyphen/>
      </w:r>
      <w:r>
        <w:t>вых грибов, в зависимости от вида, может быть фунгицидной или фунгистатической. Тербинафина гидрохлорид глубоко проникает и накапливается в поверхностном слое кожи, что обеспечивает длительный терапевтический эффект.</w:t>
      </w:r>
    </w:p>
    <w:p>
      <w:pPr>
        <w:pStyle w:val="13"/>
        <w:keepNext/>
        <w:keepLines/>
      </w:pPr>
      <w:bookmarkStart w:id="23" w:name="bookmark25"/>
      <w:bookmarkStart w:id="24" w:name="bookmark24"/>
      <w:bookmarkStart w:id="25" w:name="bookmark23"/>
      <w:r>
        <w:t>Фармакокинетика</w:t>
      </w:r>
      <w:bookmarkEnd w:id="23"/>
      <w:bookmarkEnd w:id="24"/>
      <w:bookmarkEnd w:id="25"/>
    </w:p>
    <w:p>
      <w:pPr>
        <w:pStyle w:val="15"/>
        <w:jc w:val="both"/>
      </w:pPr>
      <w:r>
        <w:t>При пероральном приеме препарата происходит быстрое всасывание активных веществ из пищева</w:t>
      </w:r>
      <w:r>
        <w:softHyphen/>
      </w:r>
      <w:r>
        <w:t>рительного тракта. Частичный метаболизм происходит в печени. Наибольшая концентрация препарата в крови наблюдается спустя 2 часа после его приема. Около 99% активных веществ в крови связывается с белками плазмы. Отмечается онихо- и эпидермотропность препарата, т.е. его наибольшее количество накапливается в кожно-волосянном покрове и когтях, а также в подкожной клетчатке, обеспечивая оптимальную концентрацию для терапевтического эффекта. Данных о фармакокинетике прополиса нет.</w:t>
      </w:r>
    </w:p>
    <w:p>
      <w:pPr>
        <w:pStyle w:val="15"/>
        <w:jc w:val="both"/>
      </w:pPr>
      <w:r>
        <w:t>Биотрансформация препарата в организме приводит к образованию неактивных метаболитов, которые выводятся в основном с мочой (71%) (22% с калом). Период полувыведения составляет около 30 часов.</w:t>
      </w:r>
    </w:p>
    <w:p>
      <w:pPr>
        <w:pStyle w:val="15"/>
        <w:jc w:val="both"/>
      </w:pPr>
      <w:r>
        <w:t>Фунгивет таблетки по степени воздействия на организм теплокровных животных относится к умеренноопасным веществам (3 класс опасности по ГОСТ 12.1.007-76) и в рекомендуемых дозах не оказывает местно-раздражающего, резорбтивно-токсического и сенсибилизирующего действия.</w:t>
      </w:r>
    </w:p>
    <w:p>
      <w:pPr>
        <w:pStyle w:val="13"/>
        <w:keepNext/>
        <w:keepLines/>
      </w:pPr>
      <w:bookmarkStart w:id="26" w:name="bookmark26"/>
      <w:bookmarkStart w:id="27" w:name="bookmark27"/>
      <w:bookmarkStart w:id="28" w:name="bookmark28"/>
      <w:r>
        <w:t>Показания к применению</w:t>
      </w:r>
      <w:bookmarkEnd w:id="26"/>
      <w:bookmarkEnd w:id="27"/>
      <w:bookmarkEnd w:id="28"/>
    </w:p>
    <w:p>
      <w:pPr>
        <w:pStyle w:val="15"/>
        <w:jc w:val="both"/>
      </w:pPr>
      <w:r>
        <w:t>Препарат фунгивет таблетки предназначен для лечения дерматомикозов у животных (собак и кошек). Препарат применяют для лечения грибковых заболеваний кожи, волос, когтей и слизистых оболочек, вызванных дерматофитами: трихофития и микроспория, а также кандидоза, вызванного дрожжеподобными грибами Malassezia furfur и Candida albicans.</w:t>
      </w:r>
    </w:p>
    <w:p>
      <w:pPr>
        <w:pStyle w:val="13"/>
        <w:keepNext/>
        <w:keepLines/>
      </w:pPr>
      <w:bookmarkStart w:id="29" w:name="bookmark29"/>
      <w:bookmarkStart w:id="30" w:name="bookmark31"/>
      <w:bookmarkStart w:id="31" w:name="bookmark30"/>
      <w:r>
        <w:t>Порядок применения</w:t>
      </w:r>
      <w:bookmarkEnd w:id="29"/>
      <w:bookmarkEnd w:id="30"/>
      <w:bookmarkEnd w:id="31"/>
    </w:p>
    <w:p>
      <w:pPr>
        <w:pStyle w:val="15"/>
        <w:jc w:val="both"/>
      </w:pPr>
      <w:r>
        <w:t>Препарат задают индивидуально кошкам и собакам из расчета 1 таблетка на 10 кг веса принудитель</w:t>
      </w:r>
      <w:r>
        <w:softHyphen/>
      </w:r>
      <w:r>
        <w:t>но, внутрь, в защечную область или на корень языка с небольшим количеством любимого корма 1 раз в день. Курс применения препарата составляет от 3 до 6 недель в зависимости от показаний и тяжести течения заболевания.</w:t>
      </w:r>
    </w:p>
    <w:p>
      <w:pPr>
        <w:pStyle w:val="13"/>
        <w:keepNext/>
        <w:keepLines/>
      </w:pPr>
      <w:bookmarkStart w:id="32" w:name="bookmark33"/>
      <w:bookmarkStart w:id="33" w:name="bookmark34"/>
      <w:bookmarkStart w:id="34" w:name="bookmark32"/>
      <w:r>
        <w:t>Побочные явления и осложнения</w:t>
      </w:r>
      <w:bookmarkEnd w:id="32"/>
      <w:bookmarkEnd w:id="33"/>
      <w:bookmarkEnd w:id="34"/>
    </w:p>
    <w:p>
      <w:pPr>
        <w:pStyle w:val="15"/>
        <w:jc w:val="both"/>
      </w:pPr>
      <w:r>
        <w:t>При применении препарата в соответствии с настоящей инструкцией побочных явлений и осложне</w:t>
      </w:r>
      <w:r>
        <w:softHyphen/>
      </w:r>
      <w:r>
        <w:t>ний не наблюдаются. При повышенной индивидуальной чувствительности животного к компонен</w:t>
      </w:r>
      <w:r>
        <w:softHyphen/>
      </w:r>
      <w:r>
        <w:t>там препарата его использование следует прекратить. С осторожностью препарат следует назначать животным с хронической почечной недостаточностью, нарушениями кроветворения, эндокринны</w:t>
      </w:r>
      <w:r>
        <w:softHyphen/>
      </w:r>
      <w:r>
        <w:t>ми болезнями, опухолями, системной и кожной волчанкой. При появлении следующих симптомов: тошнота, ухудшение аппетита, желтуха, потемнение мочи, слабость, светлый кал, препарат следует отменить.</w:t>
      </w:r>
    </w:p>
    <w:p>
      <w:pPr>
        <w:pStyle w:val="13"/>
        <w:keepNext/>
        <w:keepLines/>
        <w:jc w:val="both"/>
      </w:pPr>
      <w:bookmarkStart w:id="35" w:name="bookmark35"/>
      <w:bookmarkStart w:id="36" w:name="bookmark36"/>
      <w:bookmarkStart w:id="37" w:name="bookmark37"/>
      <w:r>
        <w:t>Противопоказания</w:t>
      </w:r>
      <w:bookmarkEnd w:id="35"/>
      <w:bookmarkEnd w:id="36"/>
      <w:bookmarkEnd w:id="37"/>
    </w:p>
    <w:p>
      <w:pPr>
        <w:pStyle w:val="15"/>
        <w:jc w:val="both"/>
      </w:pPr>
      <w:r>
        <w:t>Противопоказанием к применению препарата являются повышенная чувствительность к его компонентам (в том числе в анамнезе). Беременность и период лактации. Острые и хронические заболевания печени. Безопасность применения животным до 1 года не изучена и при необходимо</w:t>
      </w:r>
      <w:r>
        <w:softHyphen/>
      </w:r>
      <w:r>
        <w:t>сти препарат назначается только под наблюдением ветеринарного врача.</w:t>
      </w:r>
    </w:p>
    <w:p>
      <w:pPr>
        <w:pStyle w:val="13"/>
        <w:keepNext/>
        <w:keepLines/>
      </w:pPr>
      <w:bookmarkStart w:id="38" w:name="bookmark40"/>
      <w:bookmarkStart w:id="39" w:name="bookmark39"/>
      <w:bookmarkStart w:id="40" w:name="bookmark38"/>
      <w:r>
        <w:t>Передозировка</w:t>
      </w:r>
      <w:bookmarkEnd w:id="38"/>
      <w:bookmarkEnd w:id="39"/>
      <w:bookmarkEnd w:id="40"/>
    </w:p>
    <w:p>
      <w:pPr>
        <w:pStyle w:val="15"/>
        <w:jc w:val="both"/>
      </w:pPr>
      <w:r>
        <w:t>В случае передозировки у животных может отмечаться: сыпь, тошнота, головная боль, рвота, боль в эпигастральной области, частое мочеиспускание. Важно провести промывание желудка, а также практикуют прием активированного угля, симптоматическое лечение.</w:t>
      </w:r>
    </w:p>
    <w:p>
      <w:pPr>
        <w:pStyle w:val="13"/>
        <w:keepNext/>
        <w:keepLines/>
      </w:pPr>
      <w:bookmarkStart w:id="41" w:name="bookmark42"/>
      <w:bookmarkStart w:id="42" w:name="bookmark43"/>
      <w:bookmarkStart w:id="43" w:name="bookmark41"/>
      <w:r>
        <w:t>Взаимодействие с другими лекарственными препаратами</w:t>
      </w:r>
      <w:bookmarkEnd w:id="41"/>
      <w:bookmarkEnd w:id="42"/>
      <w:bookmarkEnd w:id="43"/>
    </w:p>
    <w:p>
      <w:pPr>
        <w:pStyle w:val="15"/>
        <w:jc w:val="both"/>
      </w:pPr>
      <w:r>
        <w:t>Не следует применять препарат Фунгивет таблетки одновременно с трициклическими антидепрес</w:t>
      </w:r>
      <w:r>
        <w:softHyphen/>
      </w:r>
      <w:r>
        <w:t>сантами, селективными ингибиторами, антиаритмическими лекарственные средствами, ингибитора</w:t>
      </w:r>
      <w:r>
        <w:softHyphen/>
      </w:r>
      <w:r>
        <w:t>ми моноаминооксидазы типа В, а также блокаторами Р-адренорецепторов. Тербинафина гидрохло</w:t>
      </w:r>
      <w:r>
        <w:softHyphen/>
      </w:r>
      <w:r>
        <w:t>рид может ослаблять действие циклоспорина и уменьшить его концентрацию.</w:t>
      </w:r>
    </w:p>
    <w:p>
      <w:pPr>
        <w:pStyle w:val="13"/>
        <w:keepNext/>
        <w:keepLines/>
      </w:pPr>
      <w:bookmarkStart w:id="44" w:name="bookmark44"/>
      <w:bookmarkStart w:id="45" w:name="bookmark45"/>
      <w:bookmarkStart w:id="46" w:name="bookmark46"/>
      <w:r>
        <w:t>Особые указания</w:t>
      </w:r>
      <w:bookmarkEnd w:id="44"/>
      <w:bookmarkEnd w:id="45"/>
      <w:bookmarkEnd w:id="46"/>
    </w:p>
    <w:p>
      <w:pPr>
        <w:pStyle w:val="15"/>
      </w:pPr>
      <w:r>
        <w:t>Препарат Фунгивет таблетки не предназначен для применения продуктивным животным.</w:t>
      </w:r>
    </w:p>
    <w:p>
      <w:pPr>
        <w:pStyle w:val="13"/>
        <w:keepNext/>
        <w:keepLines/>
        <w:jc w:val="center"/>
      </w:pPr>
      <w:bookmarkStart w:id="47" w:name="bookmark47"/>
      <w:bookmarkStart w:id="48" w:name="bookmark48"/>
      <w:bookmarkStart w:id="49" w:name="bookmark49"/>
      <w:r>
        <w:t>Меры личной профилактики</w:t>
      </w:r>
      <w:bookmarkEnd w:id="47"/>
      <w:bookmarkEnd w:id="48"/>
      <w:bookmarkEnd w:id="49"/>
    </w:p>
    <w:p>
      <w:pPr>
        <w:pStyle w:val="15"/>
        <w:jc w:val="both"/>
      </w:pPr>
      <w:r>
        <w:t>При работе с препаратом Фунгивет таблетки следует соблюдать общие правила личной гигиены и техники безопасности, предусмотренные при работе с лекарственными препаратами. Во время работы не разрешается курить, пить и принимать пищу. По окончании работы следует тщательно вымыть руки теплой водой с мылом. При случайном контакте препарата со слизистыми оболочками глаз необходимо промыть их большим количеством проточной воды. Людям с гиперчувствительно</w:t>
      </w:r>
      <w:r>
        <w:softHyphen/>
      </w:r>
      <w:r>
        <w:t>стью к компонентам препарата Фунгивет таблетки следует избегать прямого контакта с ним. В случае появления аллергических реакций или при случайном попадании препарата внутрь организма человека необходимо обратиться в медицинское учреждение (при себе иметь инструкцию по применению препарата или этикетку). Препарат следует применять только по назначению.</w:t>
      </w:r>
    </w:p>
    <w:p>
      <w:pPr>
        <w:pStyle w:val="15"/>
        <w:jc w:val="both"/>
      </w:pPr>
      <w:r>
        <w:t>Запрещается использование пустой тары из-под препарата для бытовых целей, она подлежит утилизации с бытовыми отходами. Неиспользованный препарат утилизируют в соответствии с требованиями законодательства.</w:t>
      </w:r>
    </w:p>
    <w:p>
      <w:pPr>
        <w:pStyle w:val="13"/>
        <w:keepNext/>
        <w:keepLines/>
        <w:jc w:val="both"/>
      </w:pPr>
      <w:bookmarkStart w:id="50" w:name="bookmark52"/>
      <w:bookmarkStart w:id="51" w:name="bookmark51"/>
      <w:bookmarkStart w:id="52" w:name="bookmark50"/>
      <w:r>
        <w:t>Условия хранения</w:t>
      </w:r>
      <w:bookmarkEnd w:id="50"/>
      <w:bookmarkEnd w:id="51"/>
      <w:bookmarkEnd w:id="52"/>
    </w:p>
    <w:p>
      <w:pPr>
        <w:pStyle w:val="15"/>
        <w:jc w:val="both"/>
      </w:pPr>
      <w:r>
        <w:t>Хранить в закрытой упаковке производителя в сухом, защищенном от прямых солнечных лучей месте, отдельно от пищевых продуктов и кормов, при температуре от 0 до 25 °C. Срок годности при соблюдении условий хранения - 36 месяцев от даты производства. Дата производства указана на упаковке. Не использовать по истечении срока годности.</w:t>
      </w:r>
    </w:p>
    <w:p>
      <w:pPr>
        <w:pStyle w:val="15"/>
      </w:pPr>
      <w:r>
        <w:t>Хранить в недоступном для детей месте!</w:t>
      </w:r>
    </w:p>
    <w:p>
      <w:pPr>
        <w:pStyle w:val="15"/>
        <w:spacing w:after="3140"/>
      </w:pPr>
      <w:r>
        <w:t>Отпускается без рецепта ветеринарного врача.</w:t>
      </w:r>
    </w:p>
    <w:sectPr>
      <w:pgSz w:w="8400" w:h="11900"/>
      <w:pgMar w:top="1440" w:right="1080" w:bottom="1440" w:left="1080" w:header="0" w:footer="3" w:gutter="0"/>
      <w:pgNumType w:start="1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andara">
    <w:panose1 w:val="020E0502030303020204"/>
    <w:charset w:val="CC"/>
    <w:family w:val="swiss"/>
    <w:pitch w:val="default"/>
    <w:sig w:usb0="A00002EF" w:usb1="4000A44B" w:usb2="00000000" w:usb3="00000000" w:csb0="2000019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compatSetting w:name="compatibilityMode" w:uri="http://schemas.microsoft.com/office/word" w:val="14"/>
  </w:compat>
  <w:rsids>
    <w:rsidRoot w:val="004E4CFE"/>
    <w:rsid w:val="00024590"/>
    <w:rsid w:val="00123338"/>
    <w:rsid w:val="004E4CFE"/>
    <w:rsid w:val="53044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ourier New" w:hAnsi="Courier New" w:eastAsia="Courier New" w:cs="Courier New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uiPriority w:val="0"/>
    <w:pPr>
      <w:widowControl w:val="0"/>
    </w:pPr>
    <w:rPr>
      <w:rFonts w:ascii="Courier New" w:hAnsi="Courier New" w:eastAsia="Courier New" w:cs="Courier New"/>
      <w:color w:val="000000"/>
      <w:sz w:val="24"/>
      <w:szCs w:val="24"/>
      <w:lang w:val="ru-RU" w:eastAsia="ru-RU" w:bidi="ru-RU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Основной текст (4)_"/>
    <w:basedOn w:val="2"/>
    <w:link w:val="5"/>
    <w:uiPriority w:val="0"/>
    <w:rPr>
      <w:rFonts w:ascii="Calibri" w:hAnsi="Calibri" w:eastAsia="Calibri" w:cs="Calibri"/>
      <w:color w:val="EBEBEB"/>
      <w:sz w:val="22"/>
      <w:szCs w:val="22"/>
      <w:u w:val="none"/>
      <w:shd w:val="clear" w:color="auto" w:fill="auto"/>
    </w:rPr>
  </w:style>
  <w:style w:type="paragraph" w:customStyle="1" w:styleId="5">
    <w:name w:val="Основной текст (4)"/>
    <w:basedOn w:val="1"/>
    <w:link w:val="4"/>
    <w:uiPriority w:val="0"/>
    <w:pPr>
      <w:spacing w:line="187" w:lineRule="auto"/>
      <w:jc w:val="center"/>
    </w:pPr>
    <w:rPr>
      <w:rFonts w:ascii="Calibri" w:hAnsi="Calibri" w:eastAsia="Calibri" w:cs="Calibri"/>
      <w:color w:val="EBEBEB"/>
      <w:sz w:val="22"/>
      <w:szCs w:val="22"/>
    </w:rPr>
  </w:style>
  <w:style w:type="character" w:customStyle="1" w:styleId="6">
    <w:name w:val="Основной текст (5)_"/>
    <w:basedOn w:val="2"/>
    <w:link w:val="7"/>
    <w:uiPriority w:val="0"/>
    <w:rPr>
      <w:rFonts w:ascii="Tahoma" w:hAnsi="Tahoma" w:eastAsia="Tahoma" w:cs="Tahoma"/>
      <w:b/>
      <w:bCs/>
      <w:color w:val="379C43"/>
      <w:sz w:val="30"/>
      <w:szCs w:val="30"/>
      <w:u w:val="none"/>
      <w:shd w:val="clear" w:color="auto" w:fill="auto"/>
    </w:rPr>
  </w:style>
  <w:style w:type="paragraph" w:customStyle="1" w:styleId="7">
    <w:name w:val="Основной текст (5)"/>
    <w:basedOn w:val="1"/>
    <w:link w:val="6"/>
    <w:uiPriority w:val="0"/>
    <w:rPr>
      <w:rFonts w:ascii="Tahoma" w:hAnsi="Tahoma" w:eastAsia="Tahoma" w:cs="Tahoma"/>
      <w:b/>
      <w:bCs/>
      <w:color w:val="379C43"/>
      <w:sz w:val="30"/>
      <w:szCs w:val="30"/>
    </w:rPr>
  </w:style>
  <w:style w:type="character" w:customStyle="1" w:styleId="8">
    <w:name w:val="Основной текст (3)_"/>
    <w:basedOn w:val="2"/>
    <w:link w:val="9"/>
    <w:uiPriority w:val="0"/>
    <w:rPr>
      <w:rFonts w:ascii="Candara" w:hAnsi="Candara" w:eastAsia="Candara" w:cs="Candara"/>
      <w:color w:val="F26E24"/>
      <w:sz w:val="11"/>
      <w:szCs w:val="11"/>
      <w:u w:val="none"/>
      <w:shd w:val="clear" w:color="auto" w:fill="auto"/>
    </w:rPr>
  </w:style>
  <w:style w:type="paragraph" w:customStyle="1" w:styleId="9">
    <w:name w:val="Основной текст (3)"/>
    <w:basedOn w:val="1"/>
    <w:link w:val="8"/>
    <w:uiPriority w:val="0"/>
    <w:rPr>
      <w:rFonts w:ascii="Candara" w:hAnsi="Candara" w:eastAsia="Candara" w:cs="Candara"/>
      <w:color w:val="F26E24"/>
      <w:sz w:val="11"/>
      <w:szCs w:val="11"/>
    </w:rPr>
  </w:style>
  <w:style w:type="character" w:customStyle="1" w:styleId="10">
    <w:name w:val="Заголовок №1_"/>
    <w:basedOn w:val="2"/>
    <w:link w:val="11"/>
    <w:uiPriority w:val="0"/>
    <w:rPr>
      <w:rFonts w:ascii="Arial" w:hAnsi="Arial" w:eastAsia="Arial" w:cs="Arial"/>
      <w:b/>
      <w:bCs/>
      <w:color w:val="00ACEE"/>
      <w:sz w:val="22"/>
      <w:szCs w:val="22"/>
      <w:u w:val="none"/>
      <w:shd w:val="clear" w:color="auto" w:fill="auto"/>
    </w:rPr>
  </w:style>
  <w:style w:type="paragraph" w:customStyle="1" w:styleId="11">
    <w:name w:val="Заголовок №1"/>
    <w:basedOn w:val="1"/>
    <w:link w:val="10"/>
    <w:uiPriority w:val="0"/>
    <w:pPr>
      <w:spacing w:after="100"/>
      <w:ind w:firstLine="620"/>
      <w:outlineLvl w:val="0"/>
    </w:pPr>
    <w:rPr>
      <w:rFonts w:ascii="Arial" w:hAnsi="Arial" w:eastAsia="Arial" w:cs="Arial"/>
      <w:b/>
      <w:bCs/>
      <w:color w:val="00ACEE"/>
      <w:sz w:val="22"/>
      <w:szCs w:val="22"/>
    </w:rPr>
  </w:style>
  <w:style w:type="character" w:customStyle="1" w:styleId="12">
    <w:name w:val="Заголовок №3_"/>
    <w:basedOn w:val="2"/>
    <w:link w:val="13"/>
    <w:uiPriority w:val="0"/>
    <w:rPr>
      <w:rFonts w:ascii="Calibri" w:hAnsi="Calibri" w:eastAsia="Calibri" w:cs="Calibri"/>
      <w:b/>
      <w:bCs/>
      <w:sz w:val="15"/>
      <w:szCs w:val="15"/>
      <w:u w:val="none"/>
      <w:shd w:val="clear" w:color="auto" w:fill="auto"/>
    </w:rPr>
  </w:style>
  <w:style w:type="paragraph" w:customStyle="1" w:styleId="13">
    <w:name w:val="Заголовок №3"/>
    <w:basedOn w:val="1"/>
    <w:link w:val="12"/>
    <w:uiPriority w:val="0"/>
    <w:pPr>
      <w:spacing w:line="216" w:lineRule="auto"/>
      <w:outlineLvl w:val="2"/>
    </w:pPr>
    <w:rPr>
      <w:rFonts w:ascii="Calibri" w:hAnsi="Calibri" w:eastAsia="Calibri" w:cs="Calibri"/>
      <w:b/>
      <w:bCs/>
      <w:sz w:val="15"/>
      <w:szCs w:val="15"/>
    </w:rPr>
  </w:style>
  <w:style w:type="character" w:customStyle="1" w:styleId="14">
    <w:name w:val="Основной текст_"/>
    <w:basedOn w:val="2"/>
    <w:link w:val="15"/>
    <w:uiPriority w:val="0"/>
    <w:rPr>
      <w:rFonts w:ascii="Arial" w:hAnsi="Arial" w:eastAsia="Arial" w:cs="Arial"/>
      <w:sz w:val="12"/>
      <w:szCs w:val="12"/>
      <w:u w:val="none"/>
      <w:shd w:val="clear" w:color="auto" w:fill="auto"/>
    </w:rPr>
  </w:style>
  <w:style w:type="paragraph" w:customStyle="1" w:styleId="15">
    <w:name w:val="Основной текст1"/>
    <w:basedOn w:val="1"/>
    <w:link w:val="14"/>
    <w:uiPriority w:val="0"/>
    <w:pPr>
      <w:spacing w:line="293" w:lineRule="auto"/>
    </w:pPr>
    <w:rPr>
      <w:rFonts w:ascii="Arial" w:hAnsi="Arial" w:eastAsia="Arial" w:cs="Arial"/>
      <w:sz w:val="12"/>
      <w:szCs w:val="12"/>
    </w:rPr>
  </w:style>
  <w:style w:type="character" w:customStyle="1" w:styleId="16">
    <w:name w:val="Основной текст (2)_"/>
    <w:basedOn w:val="2"/>
    <w:link w:val="17"/>
    <w:qFormat/>
    <w:uiPriority w:val="0"/>
    <w:rPr>
      <w:rFonts w:ascii="Arial" w:hAnsi="Arial" w:eastAsia="Arial" w:cs="Arial"/>
      <w:sz w:val="10"/>
      <w:szCs w:val="10"/>
      <w:u w:val="none"/>
      <w:shd w:val="clear" w:color="auto" w:fill="auto"/>
    </w:rPr>
  </w:style>
  <w:style w:type="paragraph" w:customStyle="1" w:styleId="17">
    <w:name w:val="Основной текст (2)"/>
    <w:basedOn w:val="1"/>
    <w:link w:val="16"/>
    <w:uiPriority w:val="0"/>
    <w:pPr>
      <w:spacing w:line="252" w:lineRule="auto"/>
    </w:pPr>
    <w:rPr>
      <w:rFonts w:ascii="Arial" w:hAnsi="Arial" w:eastAsia="Arial" w:cs="Arial"/>
      <w:sz w:val="10"/>
      <w:szCs w:val="10"/>
    </w:rPr>
  </w:style>
  <w:style w:type="character" w:customStyle="1" w:styleId="18">
    <w:name w:val="Заголовок №2_"/>
    <w:basedOn w:val="2"/>
    <w:link w:val="19"/>
    <w:uiPriority w:val="0"/>
    <w:rPr>
      <w:rFonts w:ascii="Arial" w:hAnsi="Arial" w:eastAsia="Arial" w:cs="Arial"/>
      <w:b/>
      <w:bCs/>
      <w:color w:val="0F75BA"/>
      <w:sz w:val="17"/>
      <w:szCs w:val="17"/>
      <w:u w:val="none"/>
      <w:shd w:val="clear" w:color="auto" w:fill="auto"/>
    </w:rPr>
  </w:style>
  <w:style w:type="paragraph" w:customStyle="1" w:styleId="19">
    <w:name w:val="Заголовок №2"/>
    <w:basedOn w:val="1"/>
    <w:link w:val="18"/>
    <w:uiPriority w:val="0"/>
    <w:pPr>
      <w:outlineLvl w:val="1"/>
    </w:pPr>
    <w:rPr>
      <w:rFonts w:ascii="Arial" w:hAnsi="Arial" w:eastAsia="Arial" w:cs="Arial"/>
      <w:b/>
      <w:bCs/>
      <w:color w:val="0F75BA"/>
      <w:sz w:val="17"/>
      <w:szCs w:val="17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1040</Words>
  <Characters>5932</Characters>
  <Lines>49</Lines>
  <Paragraphs>13</Paragraphs>
  <TotalTime>5</TotalTime>
  <ScaleCrop>false</ScaleCrop>
  <LinksUpToDate>false</LinksUpToDate>
  <CharactersWithSpaces>6959</CharactersWithSpaces>
  <Application>WPS Office_10.2.0.7635_F1E327BC-269C-435d-A152-05C5408002CA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2020-05-07T06:52:00Z</dcterms:created>
  <dc:creator>n.chetirina</dc:creator>
  <cp:lastModifiedBy>n.chetirina</cp:lastModifiedBy>
  <dcterms:modified xsi:type="dcterms:W3CDTF">2020-08-04T13:40:18Z</dcterms:modified>
  <dc:title>Фунгивет-таблетки_instr_120 х 220mm_ЛИЦО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1049-10.2.0.7635</vt:lpwstr>
  </property>
</Properties>
</file>