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ИНСТРУКЦИЯ</w:t>
      </w:r>
    </w:p>
    <w:p>
      <w:pPr>
        <w:jc w:val="center"/>
        <w:rPr>
          <w:lang w:val="ru-RU"/>
        </w:rPr>
      </w:pPr>
      <w:r>
        <w:rPr>
          <w:lang w:val="ru-RU"/>
        </w:rPr>
        <w:t>по применению минеральной кормовой смеси «Элдиар»</w:t>
      </w: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  <w:r>
        <w:rPr>
          <w:lang w:val="ru-RU"/>
        </w:rPr>
        <w:t>(организация-производитель ООО «</w:t>
      </w:r>
      <w:r>
        <w:rPr>
          <w:rFonts w:eastAsiaTheme="minorEastAsia" w:cstheme="minorBidi"/>
          <w:color w:val="auto"/>
          <w:kern w:val="0"/>
          <w:sz w:val="20"/>
          <w:szCs w:val="20"/>
          <w:lang w:val="ru-RU" w:eastAsia="zh-CN" w:bidi="ar-SA"/>
        </w:rPr>
        <w:t>НЕРОХИМ</w:t>
      </w:r>
      <w:r>
        <w:rPr>
          <w:lang w:val="ru-RU"/>
        </w:rPr>
        <w:t>» : 152150, Россия, Ярославская обл., Ростовский р-н, Ростов г., Пролетарская ул., дом № 86)</w:t>
      </w: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jc w:val="center"/>
        <w:rPr>
          <w:lang w:val="ru-RU"/>
        </w:rPr>
      </w:pPr>
    </w:p>
    <w:p>
      <w:pPr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Общие сведения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Минеральная кормовая смесь «Элдиар» - минеральная добавка для восстановления электролитного баланса у телят при состояниях обезвоживания, смене рациона и содержания.</w:t>
      </w:r>
    </w:p>
    <w:p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Минеральная кормовая смесь «Элдиар» представляет собой многокомпонентную смесь содержащую углеводы, клетчатку, соли натрия и калия, лиофилизированные дрожжи, МОС, аминокислоты( бетаин, глицин), смесь эфирных масел, </w:t>
      </w:r>
      <w:r>
        <w:rPr>
          <w:rFonts w:eastAsiaTheme="minorEastAsia" w:cstheme="minorBidi"/>
          <w:lang w:val="ru-RU"/>
        </w:rPr>
        <w:t>растительное масло,</w:t>
      </w:r>
      <w:r>
        <w:rPr>
          <w:lang w:val="ru-RU"/>
        </w:rPr>
        <w:t xml:space="preserve"> загуститель, антислеживатель , ароматизатор.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Не содержит генно-инженерно-модифицированных продуктов.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В 1 кг добавки содержится:</w:t>
      </w:r>
    </w:p>
    <w:tbl>
      <w:tblPr>
        <w:tblStyle w:val="7"/>
        <w:tblW w:w="831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Глюкоза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45 %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Клетчатка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Эфирные масла (</w:t>
            </w:r>
            <w:r>
              <w:rPr>
                <w:lang w:val="ru-RU"/>
              </w:rPr>
              <w:t>орегано, аниса, лимона, апельсина)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9,6%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en-US"/>
              </w:rPr>
            </w:pPr>
            <w:r>
              <w:rPr>
                <w:position w:val="0"/>
                <w:sz w:val="20"/>
                <w:vertAlign w:val="baseline"/>
                <w:lang w:val="en-US"/>
              </w:rPr>
              <w:t xml:space="preserve">Na ( </w:t>
            </w:r>
            <w:r>
              <w:rPr>
                <w:position w:val="0"/>
                <w:sz w:val="20"/>
                <w:vertAlign w:val="baseline"/>
                <w:lang w:val="ru-RU"/>
              </w:rPr>
              <w:t xml:space="preserve">в виде соли </w:t>
            </w:r>
            <w:r>
              <w:rPr>
                <w:position w:val="0"/>
                <w:sz w:val="20"/>
                <w:vertAlign w:val="baseline"/>
                <w:lang w:val="en-US"/>
              </w:rPr>
              <w:t>Na)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rFonts w:eastAsiaTheme="minorEastAsia" w:cstheme="minorBidi"/>
                <w:position w:val="0"/>
                <w:sz w:val="20"/>
                <w:vertAlign w:val="baseline"/>
                <w:lang w:val="ru-RU"/>
              </w:rPr>
              <w:t xml:space="preserve">Лиофилизированные дрожжи </w:t>
            </w:r>
            <w:r>
              <w:rPr>
                <w:rFonts w:eastAsiaTheme="minorEastAsia" w:cstheme="minorBidi"/>
                <w:lang w:val="ru-RU"/>
              </w:rPr>
              <w:t>Saccharomyces cerevisiae</w:t>
            </w:r>
            <w:r>
              <w:rPr>
                <w:rFonts w:eastAsiaTheme="minorEastAsia" w:cstheme="minorBidi"/>
                <w:position w:val="0"/>
                <w:sz w:val="20"/>
                <w:vertAlign w:val="baseline"/>
                <w:lang w:val="ru-RU"/>
              </w:rPr>
              <w:t xml:space="preserve"> +МОС(</w:t>
            </w:r>
            <w:r>
              <w:rPr>
                <w:rFonts w:ascii="Lato;sans-serif" w:hAnsi="Lato;sans-serif" w:cstheme="minorBidi"/>
                <w:b w:val="0"/>
                <w:i w:val="0"/>
                <w:caps w:val="0"/>
                <w:smallCaps w:val="0"/>
                <w:color w:val="000000"/>
                <w:spacing w:val="0"/>
                <w:position w:val="0"/>
                <w:sz w:val="18"/>
                <w:szCs w:val="18"/>
                <w:vertAlign w:val="baseline"/>
                <w:lang w:val="ru-RU"/>
              </w:rPr>
              <w:t>маннанолигосахарид)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Аминокислоты (бетаин, глицин)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1,37%, 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en-US"/>
              </w:rPr>
              <w:t>K (</w:t>
            </w:r>
            <w:r>
              <w:rPr>
                <w:position w:val="0"/>
                <w:sz w:val="20"/>
                <w:vertAlign w:val="baseline"/>
                <w:lang w:val="ru-RU"/>
              </w:rPr>
              <w:t>в виде соли К)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rFonts w:eastAsiaTheme="minorEastAsia" w:cstheme="minorBidi"/>
                <w:position w:val="0"/>
                <w:sz w:val="20"/>
                <w:vertAlign w:val="baseline"/>
                <w:lang w:val="ru-RU"/>
              </w:rPr>
              <w:t>Антислёживатель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Загуститель</w:t>
            </w:r>
            <w:r>
              <w:rPr>
                <w:rFonts w:eastAsiaTheme="minorEastAsia" w:cstheme="minorBidi"/>
                <w:position w:val="0"/>
                <w:sz w:val="20"/>
                <w:vertAlign w:val="baseline"/>
                <w:lang w:val="ru-RU"/>
              </w:rPr>
              <w:t xml:space="preserve"> (гуаровая камедь)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 xml:space="preserve">0,5%,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Ароматизатор</w:t>
            </w:r>
          </w:p>
        </w:tc>
        <w:tc>
          <w:tcPr>
            <w:tcW w:w="4158" w:type="dxa"/>
          </w:tcPr>
          <w:p>
            <w:pPr>
              <w:widowControl w:val="0"/>
              <w:numPr>
                <w:ilvl w:val="0"/>
                <w:numId w:val="0"/>
              </w:numPr>
              <w:ind w:left="0" w:firstLine="0"/>
              <w:jc w:val="both"/>
              <w:rPr>
                <w:position w:val="0"/>
                <w:sz w:val="20"/>
                <w:vertAlign w:val="baseline"/>
                <w:lang w:val="ru-RU"/>
              </w:rPr>
            </w:pPr>
            <w:r>
              <w:rPr>
                <w:position w:val="0"/>
                <w:sz w:val="20"/>
                <w:vertAlign w:val="baseline"/>
                <w:lang w:val="ru-RU"/>
              </w:rPr>
              <w:t>0,25%</w:t>
            </w:r>
          </w:p>
        </w:tc>
      </w:tr>
    </w:tbl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Содержание вредных примесей не превышают предельно допустимых норм, действующих в Российской Федерации.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Минеральная кормовая смесь «Элдиар» представляет собой порошок светло-серого цвета, со  Выпускаю смесь расфасованную по 100 г в фольгированных пакетах, упакованные по 20шт в картонную коробку</w:t>
      </w:r>
      <w:r>
        <w:rPr>
          <w:rFonts w:eastAsiaTheme="minorEastAsia" w:cstheme="minorBidi"/>
          <w:lang w:val="ru-RU"/>
        </w:rPr>
        <w:t>,</w:t>
      </w:r>
      <w:r>
        <w:rPr>
          <w:lang w:val="ru-RU"/>
        </w:rPr>
        <w:t xml:space="preserve"> и 8 кг в пластиковых контейнерах.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Каждую упаковку маркируют этикеткой на русском языке, с указанием: наименованием организации-производителя, его адреса и товарного знака, названия, назначения и способа применения добавки, её состава, сроков и условий хранения, даты изготовления, массы нетто, номер партии и снабжают инструкцией по применению.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Хранить в плотно закрытой таре производителя, проветриваемом, сухом помещении, при температуре от 0 до +25 С. Защищать от прямых солнечных лучей. 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Срок хранения: 12 мес со дня изготовления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Не использовать по истечению срока хранения.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</w:p>
    <w:p>
      <w:pPr>
        <w:numPr>
          <w:ilvl w:val="0"/>
          <w:numId w:val="1"/>
        </w:numPr>
        <w:ind w:left="0" w:firstLine="0"/>
        <w:jc w:val="center"/>
        <w:rPr>
          <w:lang w:val="ru-RU"/>
        </w:rPr>
      </w:pPr>
      <w:r>
        <w:rPr>
          <w:lang w:val="ru-RU"/>
        </w:rPr>
        <w:t>Биологические свойства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Биологические свойства минеральной кормовой смеси «Элдиар» обусловлен наличием веществ (минералов, аминокислот, смеси эфирных масел), входящих в его состав. Применение продукта обуславливает восстановление электролитного баланса и получение дополнительной энергии для предотвращения обезвоживания, восстановления энергии.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</w:p>
    <w:p>
      <w:pPr>
        <w:numPr>
          <w:ilvl w:val="0"/>
          <w:numId w:val="1"/>
        </w:numPr>
        <w:ind w:left="0" w:firstLine="0"/>
        <w:jc w:val="center"/>
        <w:rPr>
          <w:lang w:val="ru-RU"/>
        </w:rPr>
      </w:pPr>
      <w:r>
        <w:rPr>
          <w:lang w:val="ru-RU"/>
        </w:rPr>
        <w:t>Порядок применения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Минеральную кормовую смесь «Элдиар» применяют для восстановления электролитного баланса у телят при состояниях обезвоживания, смене питания и содержания.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Вносят предварительно растворив в воде, выпаивая самостоятельно или дренчером при необходимости.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  <w:r>
        <w:rPr>
          <w:lang w:val="ru-RU"/>
        </w:rPr>
        <w:t>Норма ввода составляет 100 г порошка в 2х литрах тёплой (35-40С) воды, готовый раствор необходимо выпоить сразу после  приготовления.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При применении минеральной кормой смеси «Элдиар» в рекомендуемых количествах, побочных явлений и осложнений не установлено. Необходимо обеспечить телёнку постоянный доступ к воде!</w:t>
      </w:r>
    </w:p>
    <w:p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Минеральная кормовая смесь «Элдиар» совместима со всеми лекарственными препаратами и другими кормовыми добавками. </w:t>
      </w:r>
    </w:p>
    <w:p>
      <w:pPr>
        <w:numPr>
          <w:ilvl w:val="0"/>
          <w:numId w:val="0"/>
        </w:numPr>
        <w:ind w:left="0" w:firstLine="0"/>
        <w:jc w:val="both"/>
        <w:rPr>
          <w:lang w:val="ru-RU"/>
        </w:rPr>
      </w:pPr>
    </w:p>
    <w:p>
      <w:pPr>
        <w:numPr>
          <w:ilvl w:val="0"/>
          <w:numId w:val="1"/>
        </w:numPr>
        <w:ind w:left="0" w:firstLine="0"/>
        <w:jc w:val="center"/>
        <w:rPr>
          <w:lang w:val="ru-RU"/>
        </w:rPr>
      </w:pPr>
      <w:r>
        <w:rPr>
          <w:lang w:val="ru-RU"/>
        </w:rPr>
        <w:t>Меры личной профилактики</w:t>
      </w:r>
    </w:p>
    <w:p>
      <w:pPr>
        <w:numPr>
          <w:ilvl w:val="0"/>
          <w:numId w:val="2"/>
        </w:numPr>
        <w:ind w:left="0" w:firstLine="0"/>
        <w:jc w:val="left"/>
        <w:rPr>
          <w:lang w:val="ru-RU"/>
        </w:rPr>
      </w:pPr>
      <w:r>
        <w:rPr>
          <w:lang w:val="ru-RU"/>
        </w:rPr>
        <w:t>При работе с минеральной кормовой смесью «Элдиар» следует соблюдать правила личной гигиены и техники безопасности, принятые при работе с минерально кормовыми смесями: использовать помещение с хорошей вентиляцией, применят защитную одежду, перчатки ПВХ, защитные очки и индивидуальные средства защиты дыхания - защитную маску или респиратор.</w:t>
      </w:r>
    </w:p>
    <w:p>
      <w:pPr>
        <w:numPr>
          <w:ilvl w:val="0"/>
          <w:numId w:val="2"/>
        </w:numPr>
        <w:ind w:left="0" w:firstLine="0"/>
        <w:jc w:val="left"/>
        <w:rPr>
          <w:lang w:val="ru-RU"/>
        </w:rPr>
      </w:pPr>
      <w:r>
        <w:rPr>
          <w:lang w:val="ru-RU"/>
        </w:rPr>
        <w:t>11. Хранит в местах недоступных для детей.</w:t>
      </w:r>
    </w:p>
    <w:p>
      <w:pPr>
        <w:numPr>
          <w:ilvl w:val="0"/>
          <w:numId w:val="0"/>
        </w:numPr>
        <w:ind w:left="0" w:firstLine="0"/>
        <w:jc w:val="left"/>
        <w:rPr>
          <w:lang w:val="ru-RU"/>
        </w:rPr>
      </w:pPr>
    </w:p>
    <w:p>
      <w:pPr>
        <w:numPr>
          <w:ilvl w:val="0"/>
          <w:numId w:val="0"/>
        </w:numPr>
        <w:ind w:left="0" w:firstLine="0"/>
        <w:jc w:val="left"/>
        <w:rPr>
          <w:lang w:val="ru-RU"/>
        </w:rPr>
      </w:pPr>
    </w:p>
    <w:p>
      <w:pPr>
        <w:numPr>
          <w:ilvl w:val="0"/>
          <w:numId w:val="0"/>
        </w:numPr>
        <w:ind w:left="0" w:firstLine="0"/>
        <w:jc w:val="left"/>
        <w:rPr>
          <w:lang w:val="ru-RU"/>
        </w:rPr>
      </w:pPr>
      <w:r>
        <w:rPr>
          <w:lang w:val="ru-RU"/>
        </w:rPr>
        <w:t>Инструкция разработана ТК «ООО Ярвет» г.Ярославль совместно с производителем ООО «</w:t>
      </w:r>
      <w:r>
        <w:rPr>
          <w:rFonts w:eastAsiaTheme="minorEastAsia" w:cstheme="minorBidi"/>
          <w:color w:val="auto"/>
          <w:kern w:val="0"/>
          <w:sz w:val="20"/>
          <w:szCs w:val="20"/>
          <w:lang w:val="ru-RU" w:eastAsia="zh-CN" w:bidi="ar-SA"/>
        </w:rPr>
        <w:t>НЕРОХИМ</w:t>
      </w:r>
      <w:r>
        <w:rPr>
          <w:lang w:val="ru-RU"/>
        </w:rPr>
        <w:t>» : 152150, Россия, Ярославская обл., Ростовский р-н, Ростов г., Пролетарская ул., дом № 86.</w:t>
      </w:r>
    </w:p>
    <w:p>
      <w:pPr>
        <w:numPr>
          <w:ilvl w:val="0"/>
          <w:numId w:val="0"/>
        </w:numPr>
        <w:ind w:left="0" w:firstLine="0"/>
        <w:jc w:val="left"/>
        <w:rPr>
          <w:lang w:val="ru-RU"/>
        </w:rPr>
      </w:pPr>
      <w:r>
        <w:rPr>
          <w:lang w:val="ru-RU"/>
        </w:rPr>
        <w:t>Адрес организации-производителя ООО «</w:t>
      </w:r>
      <w:r>
        <w:rPr>
          <w:rFonts w:eastAsiaTheme="minorEastAsia" w:cstheme="minorBidi"/>
          <w:color w:val="auto"/>
          <w:kern w:val="0"/>
          <w:sz w:val="20"/>
          <w:szCs w:val="20"/>
          <w:lang w:val="ru-RU" w:eastAsia="zh-CN" w:bidi="ar-SA"/>
        </w:rPr>
        <w:t>НЕРОХИМ</w:t>
      </w:r>
      <w:r>
        <w:rPr>
          <w:lang w:val="ru-RU"/>
        </w:rPr>
        <w:t>» : 152150, Россия, Ярославская обл., Ростовский р-н, Ростов г., Пролетарская ул., дом № 86</w:t>
      </w:r>
    </w:p>
    <w:p>
      <w:pPr>
        <w:numPr>
          <w:ilvl w:val="0"/>
          <w:numId w:val="0"/>
        </w:numPr>
        <w:ind w:left="0" w:firstLine="0"/>
        <w:jc w:val="left"/>
        <w:rPr>
          <w:lang w:val="ru-RU"/>
        </w:rPr>
      </w:pPr>
      <w:r>
        <w:rPr>
          <w:lang w:val="ru-RU"/>
        </w:rPr>
        <w:t>Рекомендовано к регистрации в Российской Федерации ФГБУ «ВГНКИ»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to;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upperRoman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E73AD"/>
    <w:rsid w:val="7EF65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/>
      <w:jc w:val="left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uiPriority w:val="0"/>
    <w:rPr>
      <w:rFonts w:cs="Arial"/>
    </w:rPr>
  </w:style>
  <w:style w:type="table" w:styleId="7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0">
    <w:name w:val="Содержимое таблицы"/>
    <w:basedOn w:val="1"/>
    <w:qFormat/>
    <w:uiPriority w:val="0"/>
    <w:pPr>
      <w:suppressLineNumbers/>
    </w:pPr>
  </w:style>
  <w:style w:type="paragraph" w:customStyle="1" w:styleId="11">
    <w:name w:val="Заголовок таблицы"/>
    <w:basedOn w:val="10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3329</Characters>
  <Paragraphs>48</Paragraphs>
  <TotalTime>5847</TotalTime>
  <ScaleCrop>false</ScaleCrop>
  <LinksUpToDate>false</LinksUpToDate>
  <CharactersWithSpaces>3756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2022-11-19T09:34:00Z</dcterms:created>
  <dc:creator>novikova</dc:creator>
  <cp:lastModifiedBy>novikova</cp:lastModifiedBy>
  <dcterms:modified xsi:type="dcterms:W3CDTF">2023-11-13T12:04:57Z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0BFC59D0003F409DB416D1FE10549EB0</vt:lpwstr>
  </property>
  <property fmtid="{D5CDD505-2E9C-101B-9397-08002B2CF9AE}" pid="4" name="KSOProductBuildVer">
    <vt:lpwstr>1049-11.2.0.11225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